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0F2B3F">
      <w:pPr>
        <w:rPr>
          <w:rFonts w:hint="eastAsia" w:eastAsia="SimSun"/>
          <w:lang w:eastAsia="zh-CN"/>
        </w:rPr>
      </w:pPr>
      <w:r>
        <w:rPr>
          <w:sz w:val="21"/>
        </w:rPr>
        <mc:AlternateContent>
          <mc:Choice Requires="wps">
            <w:drawing>
              <wp:anchor distT="0" distB="0" distL="114300" distR="114300" simplePos="0" relativeHeight="251660288" behindDoc="0" locked="0" layoutInCell="1" allowOverlap="1">
                <wp:simplePos x="0" y="0"/>
                <wp:positionH relativeFrom="column">
                  <wp:posOffset>2014855</wp:posOffset>
                </wp:positionH>
                <wp:positionV relativeFrom="paragraph">
                  <wp:posOffset>-469900</wp:posOffset>
                </wp:positionV>
                <wp:extent cx="5962015" cy="1058545"/>
                <wp:effectExtent l="0" t="0" r="6985" b="8255"/>
                <wp:wrapNone/>
                <wp:docPr id="1" name="Rectangles 1"/>
                <wp:cNvGraphicFramePr/>
                <a:graphic xmlns:a="http://schemas.openxmlformats.org/drawingml/2006/main">
                  <a:graphicData uri="http://schemas.microsoft.com/office/word/2010/wordprocessingShape">
                    <wps:wsp>
                      <wps:cNvSpPr/>
                      <wps:spPr>
                        <a:xfrm>
                          <a:off x="1137285" y="631190"/>
                          <a:ext cx="5962015" cy="1058545"/>
                        </a:xfrm>
                        <a:prstGeom prst="rect">
                          <a:avLst/>
                        </a:prstGeom>
                        <a:solidFill>
                          <a:srgbClr val="55A59B"/>
                        </a:solidFill>
                        <a:ln>
                          <a:noFill/>
                        </a:ln>
                        <a:effectLst>
                          <a:innerShdw blurRad="63500" dist="50800" dir="13500000">
                            <a:prstClr val="black">
                              <a:alpha val="50000"/>
                            </a:prstClr>
                          </a:innerShdw>
                        </a:effectLst>
                      </wps:spPr>
                      <wps:style>
                        <a:lnRef idx="2">
                          <a:schemeClr val="accent1">
                            <a:lumMod val="75000"/>
                          </a:schemeClr>
                        </a:lnRef>
                        <a:fillRef idx="1">
                          <a:schemeClr val="accent1"/>
                        </a:fillRef>
                        <a:effectRef idx="0">
                          <a:srgbClr val="FFFFFF"/>
                        </a:effectRef>
                        <a:fontRef idx="minor">
                          <a:schemeClr val="lt1"/>
                        </a:fontRef>
                      </wps:style>
                      <wps:txbx>
                        <w:txbxContent>
                          <w:p w14:paraId="45E75F78">
                            <w:pPr>
                              <w:jc w:val="center"/>
                              <w:rPr>
                                <w:rFonts w:hint="default" w:ascii="Sylfaen" w:hAnsi="Sylfaen" w:cs="Sylfaen"/>
                                <w:b/>
                                <w:bCs/>
                                <w:sz w:val="32"/>
                                <w:szCs w:val="28"/>
                              </w:rPr>
                            </w:pPr>
                            <w:r>
                              <w:rPr>
                                <w:rFonts w:hint="default" w:ascii="Sylfaen" w:hAnsi="Sylfaen" w:cs="Sylfaen"/>
                                <w:b/>
                                <w:bCs/>
                                <w:sz w:val="32"/>
                                <w:szCs w:val="28"/>
                              </w:rPr>
                              <w:t>ASIA JOURNAL OF MANAGEMENT AND SOCIAL SCIENCE</w:t>
                            </w:r>
                          </w:p>
                          <w:p w14:paraId="59651946">
                            <w:pPr>
                              <w:rPr>
                                <w:rFonts w:hint="default"/>
                                <w:sz w:val="36"/>
                                <w:szCs w:val="32"/>
                              </w:rPr>
                            </w:pPr>
                            <w:r>
                              <w:rPr>
                                <w:rFonts w:hint="default"/>
                                <w:sz w:val="36"/>
                                <w:szCs w:val="32"/>
                              </w:rPr>
                              <w:fldChar w:fldCharType="begin"/>
                            </w:r>
                            <w:r>
                              <w:rPr>
                                <w:rFonts w:hint="default"/>
                                <w:sz w:val="36"/>
                                <w:szCs w:val="32"/>
                              </w:rPr>
                              <w:instrText xml:space="preserve"> HYPERLINK "https://ajmss.com/index.php/Journal" </w:instrText>
                            </w:r>
                            <w:r>
                              <w:rPr>
                                <w:rFonts w:hint="default"/>
                                <w:sz w:val="36"/>
                                <w:szCs w:val="32"/>
                              </w:rPr>
                              <w:fldChar w:fldCharType="separate"/>
                            </w:r>
                            <w:r>
                              <w:rPr>
                                <w:rStyle w:val="7"/>
                                <w:rFonts w:hint="default"/>
                                <w:sz w:val="36"/>
                                <w:szCs w:val="32"/>
                              </w:rPr>
                              <w:t>https://ajmss.com/index.php/Journal</w:t>
                            </w:r>
                            <w:r>
                              <w:rPr>
                                <w:rFonts w:hint="default"/>
                                <w:sz w:val="36"/>
                                <w:szCs w:val="32"/>
                              </w:rPr>
                              <w:fldChar w:fldCharType="end"/>
                            </w:r>
                          </w:p>
                          <w:p w14:paraId="3B76360F">
                            <w:pPr>
                              <w:rPr>
                                <w:rFonts w:hint="default"/>
                                <w:sz w:val="36"/>
                                <w:szCs w:val="32"/>
                              </w:rPr>
                            </w:pPr>
                            <w:r>
                              <w:rPr>
                                <w:rFonts w:hint="default"/>
                                <w:sz w:val="36"/>
                                <w:szCs w:val="32"/>
                                <w:lang w:val="en-US"/>
                              </w:rPr>
                              <w:t>Issue 3 Vol 1 (2025)</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58.65pt;margin-top:-37pt;height:83.35pt;width:469.45pt;z-index:251660288;v-text-anchor:middle;mso-width-relative:page;mso-height-relative:page;" fillcolor="#55A59B" filled="t" stroked="f" coordsize="21600,21600" o:gfxdata="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">
                <v:fill on="t" focussize="0,0"/>
                <v:stroke on="f" weight="1pt" miterlimit="8" joinstyle="miter"/>
                <v:imagedata o:title=""/>
                <o:lock v:ext="edit" aspectratio="f"/>
                <v:textbox>
                  <w:txbxContent>
                    <w:p w14:paraId="45E75F78">
                      <w:pPr>
                        <w:jc w:val="center"/>
                        <w:rPr>
                          <w:rFonts w:hint="default" w:ascii="Sylfaen" w:hAnsi="Sylfaen" w:cs="Sylfaen"/>
                          <w:b/>
                          <w:bCs/>
                          <w:sz w:val="32"/>
                          <w:szCs w:val="28"/>
                        </w:rPr>
                      </w:pPr>
                      <w:r>
                        <w:rPr>
                          <w:rFonts w:hint="default" w:ascii="Sylfaen" w:hAnsi="Sylfaen" w:cs="Sylfaen"/>
                          <w:b/>
                          <w:bCs/>
                          <w:sz w:val="32"/>
                          <w:szCs w:val="28"/>
                        </w:rPr>
                        <w:t>ASIA JOURNAL OF MANAGEMENT AND SOCIAL SCIENCE</w:t>
                      </w:r>
                    </w:p>
                    <w:p w14:paraId="59651946">
                      <w:pPr>
                        <w:rPr>
                          <w:rFonts w:hint="default"/>
                          <w:sz w:val="36"/>
                          <w:szCs w:val="32"/>
                        </w:rPr>
                      </w:pPr>
                      <w:r>
                        <w:rPr>
                          <w:rFonts w:hint="default"/>
                          <w:sz w:val="36"/>
                          <w:szCs w:val="32"/>
                        </w:rPr>
                        <w:fldChar w:fldCharType="begin"/>
                      </w:r>
                      <w:r>
                        <w:rPr>
                          <w:rFonts w:hint="default"/>
                          <w:sz w:val="36"/>
                          <w:szCs w:val="32"/>
                        </w:rPr>
                        <w:instrText xml:space="preserve"> HYPERLINK "https://ajmss.com/index.php/Journal" </w:instrText>
                      </w:r>
                      <w:r>
                        <w:rPr>
                          <w:rFonts w:hint="default"/>
                          <w:sz w:val="36"/>
                          <w:szCs w:val="32"/>
                        </w:rPr>
                        <w:fldChar w:fldCharType="separate"/>
                      </w:r>
                      <w:r>
                        <w:rPr>
                          <w:rStyle w:val="7"/>
                          <w:rFonts w:hint="default"/>
                          <w:sz w:val="36"/>
                          <w:szCs w:val="32"/>
                        </w:rPr>
                        <w:t>https://ajmss.com/index.php/Journal</w:t>
                      </w:r>
                      <w:r>
                        <w:rPr>
                          <w:rFonts w:hint="default"/>
                          <w:sz w:val="36"/>
                          <w:szCs w:val="32"/>
                        </w:rPr>
                        <w:fldChar w:fldCharType="end"/>
                      </w:r>
                    </w:p>
                    <w:p w14:paraId="3B76360F">
                      <w:pPr>
                        <w:rPr>
                          <w:rFonts w:hint="default"/>
                          <w:sz w:val="36"/>
                          <w:szCs w:val="32"/>
                        </w:rPr>
                      </w:pPr>
                      <w:r>
                        <w:rPr>
                          <w:rFonts w:hint="default"/>
                          <w:sz w:val="36"/>
                          <w:szCs w:val="32"/>
                          <w:lang w:val="en-US"/>
                        </w:rPr>
                        <w:t>Issue 3 Vol 1 (2025)</w:t>
                      </w:r>
                    </w:p>
                  </w:txbxContent>
                </v:textbox>
              </v:rect>
            </w:pict>
          </mc:Fallback>
        </mc:AlternateContent>
      </w:r>
      <w:r>
        <w:rPr>
          <w:rFonts w:hint="eastAsia" w:eastAsia="SimSun"/>
          <w:lang w:eastAsia="zh-CN"/>
        </w:rPr>
        <w:pict>
          <v:shape id="_x0000_s1032" o:spid="_x0000_s1032" o:spt="75" alt="20-20副本" type="#_x0000_t75" style="position:absolute;left:0pt;margin-left:0pt;margin-top:2.75pt;height:612.05pt;width:846.5pt;mso-position-horizontal-relative:page;mso-position-vertical-relative:page;z-index:-251657216;mso-width-relative:page;mso-height-relative:page;" filled="f" o:preferrelative="f" stroked="f" coordsize="21600,21600">
            <v:path/>
            <v:fill on="f" focussize="0,0"/>
            <v:stroke on="f"/>
            <v:imagedata r:id="rId4" o:title="20-20副本"/>
            <o:lock v:ext="edit" aspectratio="f"/>
          </v:shape>
        </w:pict>
      </w:r>
      <w:r>
        <w:pict>
          <v:rect id="_x0000_s1030" o:spid="_x0000_s1030" o:spt="1" style="position:absolute;left:0pt;margin-left:31.25pt;margin-top:103.5pt;height:87.65pt;width:513.9pt;z-index:251660288;mso-width-relative:page;mso-height-relative:page;" fillcolor="#FFFFFF" filled="t" stroked="f" coordsize="21600,21600">
            <v:path/>
            <v:fill on="t" color2="#FFFFFF" focussize="0,0"/>
            <v:stroke on="f"/>
            <v:imagedata o:title=""/>
            <o:lock v:ext="edit" aspectratio="f"/>
            <v:textbox>
              <w:txbxContent>
                <w:p w14:paraId="3E4A2EDB">
                  <w:pPr>
                    <w:jc w:val="center"/>
                    <w:rPr>
                      <w:rFonts w:hint="default"/>
                      <w:b/>
                      <w:bCs/>
                      <w:sz w:val="36"/>
                      <w:szCs w:val="36"/>
                      <w:lang w:val="zh-CN"/>
                    </w:rPr>
                  </w:pPr>
                  <w:r>
                    <w:rPr>
                      <w:rFonts w:hint="default"/>
                      <w:b/>
                      <w:bCs/>
                      <w:sz w:val="36"/>
                      <w:szCs w:val="36"/>
                      <w:lang w:val="zh-CN"/>
                    </w:rPr>
                    <w:t>HALAL CERTIFICATION CREDIBILITY AND EXPORT PERFORMANCE: INSTITUTIONAL LEGITIMACY IN THAI FOOD SMES</w:t>
                  </w:r>
                </w:p>
              </w:txbxContent>
            </v:textbox>
          </v:rect>
        </w:pict>
      </w:r>
    </w:p>
    <w:p w14:paraId="46A78667">
      <w:pPr>
        <w:sectPr>
          <w:pgSz w:w="16838" w:h="11906" w:orient="landscape"/>
          <w:pgMar w:top="1800" w:right="1440" w:bottom="1800" w:left="1440" w:header="720" w:footer="720" w:gutter="0"/>
          <w:cols w:space="720" w:num="1"/>
          <w:docGrid w:linePitch="360" w:charSpace="0"/>
        </w:sectPr>
      </w:pPr>
      <w:r>
        <w:pict>
          <v:rect id="_x0000_s1029" o:spid="_x0000_s1029" o:spt="1" style="position:absolute;left:0pt;margin-left:208.05pt;margin-top:162.45pt;height:111.9pt;width:419.3pt;z-index:251661312;v-text-anchor:bottom;mso-width-relative:page;mso-height-relative:page;" filled="f" stroked="f" coordsize="21600,21600">
            <v:path/>
            <v:fill on="f" focussize="0,0"/>
            <v:stroke on="f"/>
            <v:imagedata o:title=""/>
            <o:lock v:ext="edit" aspectratio="f"/>
            <v:textbox inset="0mm,1.27mm,2.54mm,1.27mm">
              <w:txbxContent>
                <w:p w14:paraId="42DF1D20">
                  <w:pPr>
                    <w:rPr>
                      <w:rFonts w:hint="default"/>
                      <w:b/>
                      <w:bCs/>
                      <w:lang w:val="en-US"/>
                    </w:rPr>
                  </w:pPr>
                  <w:r>
                    <w:rPr>
                      <w:rFonts w:hint="default"/>
                      <w:b/>
                      <w:bCs/>
                      <w:lang w:val="en-US"/>
                    </w:rPr>
                    <w:t>Muhammad Shah</w:t>
                  </w:r>
                </w:p>
                <w:p w14:paraId="42914DA8">
                  <w:pPr>
                    <w:rPr>
                      <w:rFonts w:hint="default"/>
                      <w:b w:val="0"/>
                      <w:bCs w:val="0"/>
                      <w:lang w:val="en-US"/>
                    </w:rPr>
                  </w:pPr>
                  <w:r>
                    <w:rPr>
                      <w:rFonts w:hint="default"/>
                      <w:b w:val="0"/>
                      <w:bCs w:val="0"/>
                      <w:lang w:val="en-US"/>
                    </w:rPr>
                    <w:t xml:space="preserve">PhD Scholar, Department of Public Administration, Shah Abdul Latif University Khairpur, Pakistan. Email: </w:t>
                  </w:r>
                  <w:r>
                    <w:rPr>
                      <w:rFonts w:hint="default"/>
                      <w:b w:val="0"/>
                      <w:bCs w:val="0"/>
                      <w:lang w:val="en-US"/>
                    </w:rPr>
                    <w:fldChar w:fldCharType="begin"/>
                  </w:r>
                  <w:r>
                    <w:rPr>
                      <w:rFonts w:hint="default"/>
                      <w:b w:val="0"/>
                      <w:bCs w:val="0"/>
                      <w:lang w:val="en-US"/>
                    </w:rPr>
                    <w:instrText xml:space="preserve"> HYPERLINK "mailto:eco.shah@gmail.com" </w:instrText>
                  </w:r>
                  <w:r>
                    <w:rPr>
                      <w:rFonts w:hint="default"/>
                      <w:b w:val="0"/>
                      <w:bCs w:val="0"/>
                      <w:lang w:val="en-US"/>
                    </w:rPr>
                    <w:fldChar w:fldCharType="separate"/>
                  </w:r>
                  <w:r>
                    <w:rPr>
                      <w:rStyle w:val="7"/>
                      <w:rFonts w:hint="default"/>
                      <w:b w:val="0"/>
                      <w:bCs w:val="0"/>
                      <w:lang w:val="en-US"/>
                    </w:rPr>
                    <w:t>eco.shah@gmail.com</w:t>
                  </w:r>
                  <w:r>
                    <w:rPr>
                      <w:rFonts w:hint="default"/>
                      <w:b w:val="0"/>
                      <w:bCs w:val="0"/>
                      <w:lang w:val="en-US"/>
                    </w:rPr>
                    <w:fldChar w:fldCharType="end"/>
                  </w:r>
                  <w:r>
                    <w:rPr>
                      <w:rFonts w:hint="default"/>
                      <w:b w:val="0"/>
                      <w:bCs w:val="0"/>
                      <w:lang w:val="en-US"/>
                    </w:rPr>
                    <w:t xml:space="preserve"> </w:t>
                  </w:r>
                </w:p>
                <w:p w14:paraId="7615D956">
                  <w:pPr>
                    <w:rPr>
                      <w:rFonts w:hint="default"/>
                      <w:b/>
                      <w:bCs/>
                      <w:lang w:val="en-US"/>
                    </w:rPr>
                  </w:pPr>
                  <w:r>
                    <w:rPr>
                      <w:rFonts w:hint="default"/>
                      <w:b/>
                      <w:bCs/>
                      <w:lang w:val="en-US"/>
                    </w:rPr>
                    <w:t>Dr. Ali Abbas</w:t>
                  </w:r>
                </w:p>
                <w:p w14:paraId="2446A7EC">
                  <w:pPr>
                    <w:rPr>
                      <w:rFonts w:hint="default"/>
                      <w:b w:val="0"/>
                      <w:bCs w:val="0"/>
                      <w:lang w:val="en-US"/>
                    </w:rPr>
                  </w:pPr>
                  <w:r>
                    <w:rPr>
                      <w:rFonts w:hint="default"/>
                      <w:b w:val="0"/>
                      <w:bCs w:val="0"/>
                      <w:lang w:val="en-US"/>
                    </w:rPr>
                    <w:t xml:space="preserve">Public Administration, Shah Abdul Latif University Khairpur, Pakistan </w:t>
                  </w:r>
                </w:p>
              </w:txbxContent>
            </v:textbox>
          </v:rect>
        </w:pict>
      </w:r>
    </w:p>
    <w:p w14:paraId="7E0B4800">
      <w:pPr>
        <w:jc w:val="center"/>
        <w:rPr>
          <w:rFonts w:hint="default"/>
          <w:b/>
          <w:bCs/>
          <w:color w:val="55A59B"/>
          <w:sz w:val="28"/>
          <w:szCs w:val="24"/>
          <w:u w:val="double"/>
          <w:lang w:val="en-US"/>
        </w:rPr>
      </w:pPr>
      <w:r>
        <w:rPr>
          <w:rFonts w:hint="default"/>
          <w:b/>
          <w:bCs/>
          <w:color w:val="55A59B"/>
          <w:sz w:val="28"/>
          <w:szCs w:val="24"/>
          <w:u w:val="double"/>
          <w:lang w:val="en-US"/>
        </w:rPr>
        <w:t>ABSTRACT</w:t>
      </w:r>
    </w:p>
    <w:p w14:paraId="6714C501">
      <w:pPr>
        <w:keepNext w:val="0"/>
        <w:keepLines w:val="0"/>
        <w:pageBreakBefore w:val="0"/>
        <w:widowControl w:val="0"/>
        <w:kinsoku/>
        <w:wordWrap/>
        <w:overflowPunct/>
        <w:topLinePunct w:val="0"/>
        <w:autoSpaceDE/>
        <w:autoSpaceDN/>
        <w:bidi w:val="0"/>
        <w:adjustRightInd/>
        <w:snapToGrid/>
        <w:spacing w:beforeAutospacing="0" w:afterAutospacing="0" w:line="240" w:lineRule="auto"/>
        <w:jc w:val="both"/>
        <w:textAlignment w:val="auto"/>
        <w:rPr>
          <w:rFonts w:ascii="Times New Roman" w:hAnsi="Times New Roman" w:eastAsia="Times New Roman" w:cs="Times New Roman"/>
          <w:sz w:val="24"/>
          <w:szCs w:val="24"/>
        </w:rPr>
      </w:pPr>
    </w:p>
    <w:p w14:paraId="3F4A1821">
      <w:pPr>
        <w:keepNext w:val="0"/>
        <w:keepLines w:val="0"/>
        <w:pageBreakBefore w:val="0"/>
        <w:widowControl w:val="0"/>
        <w:kinsoku/>
        <w:wordWrap/>
        <w:overflowPunct/>
        <w:topLinePunct w:val="0"/>
        <w:autoSpaceDE/>
        <w:autoSpaceDN/>
        <w:bidi w:val="0"/>
        <w:adjustRightInd/>
        <w:snapToGrid/>
        <w:spacing w:beforeAutospacing="0" w:afterAutospacing="0" w:line="240" w:lineRule="auto"/>
        <w:jc w:val="both"/>
        <w:textAlignment w:val="auto"/>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The worldwide market of halal food is expanding, which brings food companies around the world with a lot of opportunities. However, small and medium-sized enterprises (SMEs) in emerging countries like Thailand encounter difficulties in linking halal certification with export performance. This research investigates the role of halal certification credibility and its impact on the export performance of Thai food SMEs, with the institutional legitimacy as a central mediator. A mixed-method approach was applied using a survey of 200 Thai food SMEs and interviews with 15 industry representative experts. Our results indicate that same as halal certification producers more export market power, its effect on exports depends upon the trustworthiness attributed to the certification. This article examines how institutional legitimacy, anticipated through third-party certification, affects foreign customers' trust and leads to export performance. We also explore boundary conditions where the effect of halal certification credibility differs: Cultural perception about the quality of the relevant certification and firm's market orientation. Our study extends understanding of how SMEs leverage certifications to gain institutional legitimacy and has several managerial implications for firms intending to access the global halal food market.</w:t>
      </w:r>
    </w:p>
    <w:p w14:paraId="39A2E53F">
      <w:pPr>
        <w:keepNext w:val="0"/>
        <w:keepLines w:val="0"/>
        <w:pageBreakBefore w:val="0"/>
        <w:widowControl w:val="0"/>
        <w:kinsoku/>
        <w:wordWrap/>
        <w:overflowPunct/>
        <w:topLinePunct w:val="0"/>
        <w:autoSpaceDE/>
        <w:autoSpaceDN/>
        <w:bidi w:val="0"/>
        <w:adjustRightInd/>
        <w:snapToGrid/>
        <w:spacing w:beforeAutospacing="0" w:afterAutospacing="0" w:line="240" w:lineRule="auto"/>
        <w:jc w:val="both"/>
        <w:textAlignment w:val="auto"/>
        <w:rPr>
          <w:rFonts w:hint="default" w:ascii="Times New Roman" w:hAnsi="Times New Roman" w:eastAsia="Times New Roman" w:cs="Times New Roman"/>
          <w:sz w:val="24"/>
          <w:szCs w:val="24"/>
        </w:rPr>
      </w:pPr>
      <w:r>
        <w:rPr>
          <w:rFonts w:hint="default" w:ascii="Times New Roman" w:hAnsi="Times New Roman" w:eastAsia="Times New Roman" w:cs="Times New Roman"/>
          <w:b/>
          <w:bCs/>
          <w:sz w:val="24"/>
          <w:szCs w:val="24"/>
        </w:rPr>
        <w:t>Keywords:</w:t>
      </w:r>
      <w:r>
        <w:rPr>
          <w:rFonts w:hint="default" w:ascii="Times New Roman" w:hAnsi="Times New Roman" w:eastAsia="Times New Roman" w:cs="Times New Roman"/>
          <w:sz w:val="24"/>
          <w:szCs w:val="24"/>
        </w:rPr>
        <w:t xml:space="preserve"> Halal Certification, Export Performance, Institutional Legitimacy, Thai Food SMEs, Credibility, Managerial Strategy</w:t>
      </w:r>
    </w:p>
    <w:p w14:paraId="62ADF52F">
      <w:pPr>
        <w:keepNext w:val="0"/>
        <w:keepLines w:val="0"/>
        <w:pageBreakBefore w:val="0"/>
        <w:widowControl w:val="0"/>
        <w:kinsoku/>
        <w:wordWrap/>
        <w:overflowPunct/>
        <w:topLinePunct w:val="0"/>
        <w:autoSpaceDE/>
        <w:autoSpaceDN/>
        <w:bidi w:val="0"/>
        <w:adjustRightInd/>
        <w:snapToGrid/>
        <w:spacing w:beforeAutospacing="0" w:afterAutospacing="0" w:line="240" w:lineRule="auto"/>
        <w:jc w:val="both"/>
        <w:textAlignment w:val="auto"/>
        <w:rPr>
          <w:rFonts w:hint="default" w:ascii="Times New Roman" w:hAnsi="Times New Roman" w:eastAsia="Times New Roman" w:cs="Times New Roman"/>
          <w:sz w:val="24"/>
          <w:szCs w:val="24"/>
        </w:rPr>
      </w:pPr>
      <w:r>
        <w:rPr>
          <w:rFonts w:hint="default" w:ascii="Times New Roman" w:hAnsi="Times New Roman" w:eastAsia="Times New Roman" w:cs="Times New Roman"/>
          <w:b/>
          <w:bCs/>
          <w:sz w:val="24"/>
          <w:szCs w:val="24"/>
        </w:rPr>
        <w:t>INTRODUCTION</w:t>
      </w:r>
    </w:p>
    <w:p w14:paraId="39F64215">
      <w:pPr>
        <w:keepNext w:val="0"/>
        <w:keepLines w:val="0"/>
        <w:pageBreakBefore w:val="0"/>
        <w:widowControl w:val="0"/>
        <w:kinsoku/>
        <w:wordWrap/>
        <w:overflowPunct/>
        <w:topLinePunct w:val="0"/>
        <w:autoSpaceDE/>
        <w:autoSpaceDN/>
        <w:bidi w:val="0"/>
        <w:adjustRightInd/>
        <w:snapToGrid/>
        <w:spacing w:beforeAutospacing="0" w:afterAutospacing="0" w:line="240" w:lineRule="auto"/>
        <w:jc w:val="both"/>
        <w:textAlignment w:val="auto"/>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In contemporary times, the worldwide halal food industry has experienced rapid development due to growing Muslim population in different part of the world and intense consumer awareness about halal principles. This US$ Trillion market is growing and expected to keep growing as the demand for halal-certified food products grows in both Muslim-dominant countries/regions and among the significant people who are Muslims (Amin, 2021). For Thai SMEs to export halal food, the certification is more than just a stamp of approval - it ultimately provides critical access to this lucrative global market. Yet, for all such potential, Thai SMEs are having to overcome numerous impediments in coping with the intricacies of halal certification—in terms of costs and enrollment in legislative structures, alongside asserting authenticity within a fiercely prejudiced global scene (Faisal et al., 2022). Since SMEs may not have the required financial and organizational capabilities like bigger players, they are also constrained in achieving and maintaining the level of halal certification standards that could be necessary to secure improved market access vis-aÌ€-vis export performance. Therefore, although halal certification may make Thai SMEs more competitive in export markets, the effect of halal certification on actual exports is unknown especially in an emerging economy context such as Thailand where the halal food sector is still at a nascent stage (Khan et al., 2023). As such, although the halal certificate provides Thai food SMEs with a promising avenue to the global market, the issues of credibility and institutional legitimacy confronting them are under investigated.</w:t>
      </w:r>
    </w:p>
    <w:p w14:paraId="10D65BA0">
      <w:pPr>
        <w:keepNext w:val="0"/>
        <w:keepLines w:val="0"/>
        <w:pageBreakBefore w:val="0"/>
        <w:widowControl w:val="0"/>
        <w:kinsoku/>
        <w:wordWrap/>
        <w:overflowPunct/>
        <w:topLinePunct w:val="0"/>
        <w:autoSpaceDE/>
        <w:autoSpaceDN/>
        <w:bidi w:val="0"/>
        <w:adjustRightInd/>
        <w:snapToGrid/>
        <w:spacing w:beforeAutospacing="0" w:afterAutospacing="0" w:line="240" w:lineRule="auto"/>
        <w:jc w:val="both"/>
        <w:textAlignment w:val="auto"/>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Extant research in halal certification has largely taken place amongst the large starchion of the international business entities having overlooked SMEs’ experience particularly, within non-Muslim-majority countries (Amin, 2021; Faisal et al., 2022). Even though these studies have dealt with large firms operating in Muslim countries, where the necessity of halal certification is more often labelled default than distinctive on the market. Among those countries, Thailand also has a FrOaG due to the fact that it contains a small Muslim population and so the impact of halal certification on SMEs in this country may differ compared to other contexts such as Indonesia. There has been an underrepresentation in the literature, of issues encountered by SMEs within these environments e.g. lack of resources and a competitive international market which requires credibility (Sia et al., 2024). There are important theoretical implications of this research gap as how halal certification affects the export strategies of SMEs in emerging markets, and further opens up avenues for more indepth study on factors affecting the credibility of halal certification and its influence on export performance. New research also has called for more comprehensive examination of institutional legitimacy, which potentially can be used to articulating why 3 rd party certification influences how external stakeholders perceive SMEs in the world market place (Khan et al, 2023). This research is hence an attempt to address this gap by examining the influence of halal certification credibility and institutional legitimacy on the export performance of Thai food SMEs.</w:t>
      </w:r>
    </w:p>
    <w:p w14:paraId="2C8CD22D">
      <w:pPr>
        <w:keepNext w:val="0"/>
        <w:keepLines w:val="0"/>
        <w:pageBreakBefore w:val="0"/>
        <w:widowControl w:val="0"/>
        <w:kinsoku/>
        <w:wordWrap/>
        <w:overflowPunct/>
        <w:topLinePunct w:val="0"/>
        <w:autoSpaceDE/>
        <w:autoSpaceDN/>
        <w:bidi w:val="0"/>
        <w:adjustRightInd/>
        <w:snapToGrid/>
        <w:spacing w:beforeAutospacing="0" w:afterAutospacing="0" w:line="240" w:lineRule="auto"/>
        <w:jc w:val="both"/>
        <w:textAlignment w:val="auto"/>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This research is based on institutional theory, which seeks to address how firms develop and sustain legitimacy in the face of external actors (Suchman, 1995). According to institutional theory when organizations are legitimate, they could be more able to obtain resources (i.e., market access and favorable business relationships) that they need for growth, especially in international arena. As an institutional signal, Halal certification can thus function as a shortcut for SMEs to obtain legitimacy in foreign customers’, regulators’ and business partners’ eyes. The paper also draws on the resource orchestration theory (Sirmon et al., 2011) that focuses upon how firms can deploy and manage resources in a strategically manner with the aim of attaining competitive edges. In this sense Halal certification is seen as an important asset which SMEs can utilise to improve export outputs. Strategically utilized, this resource will allows Thai SMEs to penetrate international halal markets thereby improving their competitiveness and expanding.</w:t>
      </w:r>
    </w:p>
    <w:p w14:paraId="0A566741">
      <w:pPr>
        <w:keepNext w:val="0"/>
        <w:keepLines w:val="0"/>
        <w:pageBreakBefore w:val="0"/>
        <w:widowControl w:val="0"/>
        <w:kinsoku/>
        <w:wordWrap/>
        <w:overflowPunct/>
        <w:topLinePunct w:val="0"/>
        <w:autoSpaceDE/>
        <w:autoSpaceDN/>
        <w:bidi w:val="0"/>
        <w:adjustRightInd/>
        <w:snapToGrid/>
        <w:spacing w:beforeAutospacing="0" w:afterAutospacing="0" w:line="240" w:lineRule="auto"/>
        <w:jc w:val="both"/>
        <w:textAlignment w:val="auto"/>
        <w:rPr>
          <w:rFonts w:hint="default" w:ascii="Times New Roman" w:hAnsi="Times New Roman" w:eastAsia="Times New Roman" w:cs="Times New Roman"/>
          <w:b/>
          <w:sz w:val="24"/>
          <w:szCs w:val="24"/>
        </w:rPr>
      </w:pPr>
      <w:r>
        <w:rPr>
          <w:rFonts w:hint="default" w:ascii="Times New Roman" w:hAnsi="Times New Roman" w:eastAsia="Times New Roman" w:cs="Times New Roman"/>
          <w:b/>
          <w:sz w:val="24"/>
          <w:szCs w:val="24"/>
        </w:rPr>
        <w:t>Significance</w:t>
      </w:r>
    </w:p>
    <w:p w14:paraId="5184C61A">
      <w:pPr>
        <w:keepNext w:val="0"/>
        <w:keepLines w:val="0"/>
        <w:pageBreakBefore w:val="0"/>
        <w:widowControl w:val="0"/>
        <w:kinsoku/>
        <w:wordWrap/>
        <w:overflowPunct/>
        <w:topLinePunct w:val="0"/>
        <w:autoSpaceDE/>
        <w:autoSpaceDN/>
        <w:bidi w:val="0"/>
        <w:adjustRightInd/>
        <w:snapToGrid/>
        <w:spacing w:beforeAutospacing="0" w:afterAutospacing="0" w:line="240" w:lineRule="auto"/>
        <w:jc w:val="both"/>
        <w:textAlignment w:val="auto"/>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It is important for various reasons to understand the impact of halal certification on export performance of Thai food SMEs. One of the major export-oriented industries in Thailand is its food industry and the subsector with a growing interest in Halal food production. The need for Halal certification is often considered as an obligatory requirement to penetrate the Muslim majority countries’ markets however its actual effect on SMEs export performance are not yet revealed. This study offers important implications for SME managers seeking to access global halal markets with the understanding of how credible and legitimate halal certification affects export performance. Second, the research adds to an increasing volume of writings on institutional theory and certification mechanisms in world trade. Through the examination of the mediating effect of institutional legitimacy, this study contributes to theoretical understandings on how SMEs may leverage certification as a strategic weapon for transit nation if they want to improve their reputation and performance in abroad markets. From the policy perspective, our study suggests that policies should be implemented to assist SMEs to make the process of halal certification faster (F) in order for Thailand to maintain its competitiveness in exporting halal foods worldwide. Finally, it reveals practical implications for how SMEs can better utilize certification credibility to improve their competitive advantage, as well as export performance in the context of global rising competition in food market.</w:t>
      </w:r>
    </w:p>
    <w:p w14:paraId="550480B1">
      <w:pPr>
        <w:keepNext w:val="0"/>
        <w:keepLines w:val="0"/>
        <w:pageBreakBefore w:val="0"/>
        <w:widowControl w:val="0"/>
        <w:kinsoku/>
        <w:wordWrap/>
        <w:overflowPunct/>
        <w:topLinePunct w:val="0"/>
        <w:autoSpaceDE/>
        <w:autoSpaceDN/>
        <w:bidi w:val="0"/>
        <w:adjustRightInd/>
        <w:snapToGrid/>
        <w:spacing w:beforeAutospacing="0" w:afterAutospacing="0" w:line="240" w:lineRule="auto"/>
        <w:jc w:val="both"/>
        <w:textAlignment w:val="auto"/>
        <w:rPr>
          <w:rFonts w:hint="default" w:ascii="Times New Roman" w:hAnsi="Times New Roman" w:eastAsia="Times New Roman" w:cs="Times New Roman"/>
          <w:b/>
          <w:sz w:val="24"/>
          <w:szCs w:val="24"/>
        </w:rPr>
      </w:pPr>
      <w:r>
        <w:rPr>
          <w:rFonts w:hint="default" w:ascii="Times New Roman" w:hAnsi="Times New Roman" w:eastAsia="Times New Roman" w:cs="Times New Roman"/>
          <w:b/>
          <w:sz w:val="24"/>
          <w:szCs w:val="24"/>
        </w:rPr>
        <w:t>Objectives:</w:t>
      </w:r>
    </w:p>
    <w:p w14:paraId="6AC8288D">
      <w:pPr>
        <w:pStyle w:val="12"/>
        <w:keepNext w:val="0"/>
        <w:keepLines w:val="0"/>
        <w:pageBreakBefore w:val="0"/>
        <w:widowControl w:val="0"/>
        <w:numPr>
          <w:ilvl w:val="0"/>
          <w:numId w:val="1"/>
        </w:numPr>
        <w:kinsoku/>
        <w:wordWrap/>
        <w:overflowPunct/>
        <w:topLinePunct w:val="0"/>
        <w:autoSpaceDE/>
        <w:autoSpaceDN/>
        <w:bidi w:val="0"/>
        <w:adjustRightInd/>
        <w:snapToGrid/>
        <w:spacing w:beforeAutospacing="0" w:afterAutospacing="0" w:line="240" w:lineRule="auto"/>
        <w:jc w:val="both"/>
        <w:textAlignment w:val="auto"/>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To analyze the influence of halal certification credibility on export performance of Thai food SMEs.</w:t>
      </w:r>
    </w:p>
    <w:p w14:paraId="68CAA513">
      <w:pPr>
        <w:pStyle w:val="12"/>
        <w:keepNext w:val="0"/>
        <w:keepLines w:val="0"/>
        <w:pageBreakBefore w:val="0"/>
        <w:widowControl w:val="0"/>
        <w:numPr>
          <w:ilvl w:val="0"/>
          <w:numId w:val="1"/>
        </w:numPr>
        <w:kinsoku/>
        <w:wordWrap/>
        <w:overflowPunct/>
        <w:topLinePunct w:val="0"/>
        <w:autoSpaceDE/>
        <w:autoSpaceDN/>
        <w:bidi w:val="0"/>
        <w:adjustRightInd/>
        <w:snapToGrid/>
        <w:spacing w:beforeAutospacing="0" w:afterAutospacing="0" w:line="240" w:lineRule="auto"/>
        <w:jc w:val="both"/>
        <w:textAlignment w:val="auto"/>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To investigate the mediating effect of institutional legitimacy in the association between halal certification and export performance.</w:t>
      </w:r>
    </w:p>
    <w:p w14:paraId="0F97C846">
      <w:pPr>
        <w:pStyle w:val="12"/>
        <w:keepNext w:val="0"/>
        <w:keepLines w:val="0"/>
        <w:pageBreakBefore w:val="0"/>
        <w:widowControl w:val="0"/>
        <w:numPr>
          <w:ilvl w:val="0"/>
          <w:numId w:val="1"/>
        </w:numPr>
        <w:kinsoku/>
        <w:wordWrap/>
        <w:overflowPunct/>
        <w:topLinePunct w:val="0"/>
        <w:autoSpaceDE/>
        <w:autoSpaceDN/>
        <w:bidi w:val="0"/>
        <w:adjustRightInd/>
        <w:snapToGrid/>
        <w:spacing w:beforeAutospacing="0" w:afterAutospacing="0" w:line="240" w:lineRule="auto"/>
        <w:jc w:val="both"/>
        <w:textAlignment w:val="auto"/>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To determine the conditions under which halal certification credibility has an impact on exports.</w:t>
      </w:r>
    </w:p>
    <w:p w14:paraId="148CE607">
      <w:pPr>
        <w:keepNext w:val="0"/>
        <w:keepLines w:val="0"/>
        <w:pageBreakBefore w:val="0"/>
        <w:widowControl w:val="0"/>
        <w:kinsoku/>
        <w:wordWrap/>
        <w:overflowPunct/>
        <w:topLinePunct w:val="0"/>
        <w:autoSpaceDE/>
        <w:autoSpaceDN/>
        <w:bidi w:val="0"/>
        <w:adjustRightInd/>
        <w:snapToGrid/>
        <w:spacing w:beforeAutospacing="0" w:afterAutospacing="0" w:line="240" w:lineRule="auto"/>
        <w:jc w:val="both"/>
        <w:textAlignment w:val="auto"/>
        <w:rPr>
          <w:rFonts w:hint="default" w:ascii="Times New Roman" w:hAnsi="Times New Roman" w:eastAsia="Times New Roman" w:cs="Times New Roman"/>
          <w:b/>
          <w:sz w:val="24"/>
          <w:szCs w:val="24"/>
        </w:rPr>
      </w:pPr>
      <w:r>
        <w:rPr>
          <w:rFonts w:hint="default" w:ascii="Times New Roman" w:hAnsi="Times New Roman" w:eastAsia="Times New Roman" w:cs="Times New Roman"/>
          <w:b/>
          <w:sz w:val="24"/>
          <w:szCs w:val="24"/>
        </w:rPr>
        <w:t>LITERATURE REVIEW</w:t>
      </w:r>
    </w:p>
    <w:p w14:paraId="31C66034">
      <w:pPr>
        <w:keepNext w:val="0"/>
        <w:keepLines w:val="0"/>
        <w:pageBreakBefore w:val="0"/>
        <w:widowControl w:val="0"/>
        <w:kinsoku/>
        <w:wordWrap/>
        <w:overflowPunct/>
        <w:topLinePunct w:val="0"/>
        <w:autoSpaceDE/>
        <w:autoSpaceDN/>
        <w:bidi w:val="0"/>
        <w:adjustRightInd/>
        <w:snapToGrid/>
        <w:spacing w:beforeAutospacing="0" w:afterAutospacing="0" w:line="240" w:lineRule="auto"/>
        <w:jc w:val="both"/>
        <w:textAlignment w:val="auto"/>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For food products particularly in Muslim-majority markets, Halal certificate has gained importance as a sign of quality and trust. Halal Certification Credibility: It is the extent of trust and confidence on halal certification among certain important external stakeholders such as consumers, regulator authorities and business counterparts. It also includes the ability of certifying bodies to have products comply with strict halal standard requirements not only just on religious principles, but also with the QA practices in place to ensure consumer confidence (Khan et al., 2023). Credibility is particularly essential to certification because, in the case of religious, ethical brand hygienic considerations, faith and consumers take it for granted that they can rely on certification to confirm whether food products meet their specific dietary requirements. For SMEs in non-Muslim-majority countries such as Thailand, guaranteeing the integrity of certification can greatly facilitate access to markets by demonstrating that its products are compliant with international norms. The trustworthiness of halal certification can influence consumer behaviour and be decisive to the organisation's accessibility and participation in the global markets for halal food (Amin, 2021).</w:t>
      </w:r>
    </w:p>
    <w:p w14:paraId="2548BF64">
      <w:pPr>
        <w:keepNext w:val="0"/>
        <w:keepLines w:val="0"/>
        <w:pageBreakBefore w:val="0"/>
        <w:widowControl w:val="0"/>
        <w:kinsoku/>
        <w:wordWrap/>
        <w:overflowPunct/>
        <w:topLinePunct w:val="0"/>
        <w:autoSpaceDE/>
        <w:autoSpaceDN/>
        <w:bidi w:val="0"/>
        <w:adjustRightInd/>
        <w:snapToGrid/>
        <w:spacing w:beforeAutospacing="0" w:afterAutospacing="0" w:line="240" w:lineRule="auto"/>
        <w:jc w:val="both"/>
        <w:textAlignment w:val="auto"/>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Export Performance: Key Success Measure for every international trading Company. Market performance: It is generally viewed as the extent to which a firm is successful in penetrating foreign markets away from home country, often measured by performance measures e.g., sales growth, market share and profitability in international markets (Zou et al., 1998). For SMEs from an emerging-market country like Thailand, exporting those halal-certified products is a way to gain share of the global halal food market. The commercial performance of these businesses, nevertheless, depends on both the quality and the legitimacy of their certifications as well as on their marketing strategies regarding such certifications. In the case of Thai food SMEs, halal certification is seen as a potential key factor for gaining entry into foreign markets, especially markets with large Muslim population).</w:t>
      </w:r>
    </w:p>
    <w:p w14:paraId="3035CEDA">
      <w:pPr>
        <w:keepNext w:val="0"/>
        <w:keepLines w:val="0"/>
        <w:pageBreakBefore w:val="0"/>
        <w:widowControl w:val="0"/>
        <w:kinsoku/>
        <w:wordWrap/>
        <w:overflowPunct/>
        <w:topLinePunct w:val="0"/>
        <w:autoSpaceDE/>
        <w:autoSpaceDN/>
        <w:bidi w:val="0"/>
        <w:adjustRightInd/>
        <w:snapToGrid/>
        <w:spacing w:beforeAutospacing="0" w:afterAutospacing="0" w:line="240" w:lineRule="auto"/>
        <w:jc w:val="both"/>
        <w:textAlignment w:val="auto"/>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Institutional Legitimacy Institutional legitimacy is the construction block of the success for SMEs, especially if they intend to reach or grow in international markets. Institutional legitimacy pertains to the social judgment as to whether an organization’s activities and objectives are acceptable and consistent with society norms (Suchman, 1995). And in the case of halal certification, institutional legitimacy is reached when a certification body’s authority and procedures are acknowledged and accepted by stakeholders such as customers, regulators and business partners. For SMEs in Thailand, it is not only about fulfilling technical requirements when seeking Halal certification, but also about obtaining institutional recognition internationally. Certification may contribute to a firm's reputational integrity, enhance the competitive advantages of entering into halal food markets, and help the firm in going market.</w:t>
      </w:r>
    </w:p>
    <w:p w14:paraId="5BA2C15C">
      <w:pPr>
        <w:keepNext w:val="0"/>
        <w:keepLines w:val="0"/>
        <w:pageBreakBefore w:val="0"/>
        <w:widowControl w:val="0"/>
        <w:kinsoku/>
        <w:wordWrap/>
        <w:overflowPunct/>
        <w:topLinePunct w:val="0"/>
        <w:autoSpaceDE/>
        <w:autoSpaceDN/>
        <w:bidi w:val="0"/>
        <w:adjustRightInd/>
        <w:snapToGrid/>
        <w:spacing w:beforeAutospacing="0" w:afterAutospacing="0" w:line="240" w:lineRule="auto"/>
        <w:jc w:val="both"/>
        <w:textAlignment w:val="auto"/>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Although the association between Halal Certification and export performance is likely to be important; however, this may vary in intensity by virtue of several antecedents. Cultural dissimilarities domestic market and target export markets One such factor is a gap in culture between the home market of an organization and its intended export destination (Faisal et al., 2022). For instance, the perception of halal foods and the certification process can vary according to culture and religion so there may be implications for uptake of halal-certified food products in international markets. In markets where halal is less culturally relevant, the value (purpose served by) of certification might be low and therefore tends to reduce export performance. In addition, a company’s market orientation (to what extent the firm emphasis on understanding and responding to customers’ needs in abroad markets) also has a significant influence on the effectiveness of halal certification toward export performance. A market-oriented firm is more likely to use its halal certification to respond to international consumer demands (Sia et. al., 2024). The established international network of relationships is also important. A firm that already has an established foreign marketing network will be likely to promote and sell its products with halal certification in overseas markets, which can lead to the improvement of export performance.</w:t>
      </w:r>
    </w:p>
    <w:p w14:paraId="674F5A10">
      <w:pPr>
        <w:keepNext w:val="0"/>
        <w:keepLines w:val="0"/>
        <w:pageBreakBefore w:val="0"/>
        <w:widowControl w:val="0"/>
        <w:kinsoku/>
        <w:wordWrap/>
        <w:overflowPunct/>
        <w:topLinePunct w:val="0"/>
        <w:autoSpaceDE/>
        <w:autoSpaceDN/>
        <w:bidi w:val="0"/>
        <w:adjustRightInd/>
        <w:snapToGrid/>
        <w:spacing w:beforeAutospacing="0" w:afterAutospacing="0" w:line="240" w:lineRule="auto"/>
        <w:jc w:val="both"/>
        <w:textAlignment w:val="auto"/>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The regulatory policy in the target export market is also essential to condition the trustworthiness of halal certification. There are differing laws and requirements for the certification of halal products in different countries, which may affect how such certifications are viewed by consumers and regulators. Companies that wish to export halal products need to carefully work their way through these regulatory environments and ensure that the standards with which they are certified both match the local requirements and international expectations. An SME in Thailand needs to grasp such regulatory system as it is important for them for improving export performance of the organization.</w:t>
      </w:r>
    </w:p>
    <w:p w14:paraId="07BA9BF6">
      <w:pPr>
        <w:keepNext w:val="0"/>
        <w:keepLines w:val="0"/>
        <w:pageBreakBefore w:val="0"/>
        <w:widowControl w:val="0"/>
        <w:kinsoku/>
        <w:wordWrap/>
        <w:overflowPunct/>
        <w:topLinePunct w:val="0"/>
        <w:autoSpaceDE/>
        <w:autoSpaceDN/>
        <w:bidi w:val="0"/>
        <w:adjustRightInd/>
        <w:snapToGrid/>
        <w:spacing w:beforeAutospacing="0" w:afterAutospacing="0" w:line="240" w:lineRule="auto"/>
        <w:jc w:val="both"/>
        <w:textAlignment w:val="auto"/>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Though halal certification and the legitimacy associated with it are essential drivers for export performance, other factors can still offer different degree of explanation on a firm’s success in foreign markets. Resource endowments (financial and human) may account for a great deal of variance in the export performance of a firm. SMEs having more resources are in a better position to carry out successfully the halal certification process and uphold it, as well as they can invest in all marketing promotion strategies and distribution for internationalization Strategic direction is another determinant that could influence the success of export. Firms such as export focused firms are more inclined to focus on the expansion of international markets and use halal certification as a strategic asset in making their products diversified (Faisal et al., 2022). Last, export market knowledge is an important predictor of firm level export performance. Training and prior experience with international markets have a positive impact on the ability of a firm to export halal certified products since these companies can better handle issues related to customer needs analyses, preferences and differences with foreign government regulations (Zou et al., 1998).</w:t>
      </w:r>
    </w:p>
    <w:p w14:paraId="43C0594F">
      <w:pPr>
        <w:keepNext w:val="0"/>
        <w:keepLines w:val="0"/>
        <w:pageBreakBefore w:val="0"/>
        <w:widowControl w:val="0"/>
        <w:kinsoku/>
        <w:wordWrap/>
        <w:overflowPunct/>
        <w:topLinePunct w:val="0"/>
        <w:autoSpaceDE/>
        <w:autoSpaceDN/>
        <w:bidi w:val="0"/>
        <w:adjustRightInd/>
        <w:snapToGrid/>
        <w:spacing w:beforeAutospacing="0" w:afterAutospacing="0" w:line="240" w:lineRule="auto"/>
        <w:jc w:val="both"/>
        <w:textAlignment w:val="auto"/>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We will control for firm size, export experience and geography in our study. Such factors may affect the export performance in addition to halal certification credibility. The available resources and networks which are principal drivers of international growth may be more abundant in the case of larger firms; similarly, firms with a longer history in exporting are more likely to have better export strategies. From its geographical standpoint, it would also be reasonable to assume that the neighbouring export market’s position would deter a firm’s ease of trade across borders– firms that are geographically closer to key halal food markets may encounter less logistical challenges.</w:t>
      </w:r>
    </w:p>
    <w:p w14:paraId="3AE52E9D">
      <w:pPr>
        <w:keepNext w:val="0"/>
        <w:keepLines w:val="0"/>
        <w:pageBreakBefore w:val="0"/>
        <w:widowControl w:val="0"/>
        <w:kinsoku/>
        <w:wordWrap/>
        <w:overflowPunct/>
        <w:topLinePunct w:val="0"/>
        <w:autoSpaceDE/>
        <w:autoSpaceDN/>
        <w:bidi w:val="0"/>
        <w:adjustRightInd/>
        <w:snapToGrid/>
        <w:spacing w:beforeAutospacing="0" w:afterAutospacing="0" w:line="240" w:lineRule="auto"/>
        <w:jc w:val="both"/>
        <w:textAlignment w:val="auto"/>
        <w:rPr>
          <w:rFonts w:hint="default" w:ascii="Times New Roman" w:hAnsi="Times New Roman" w:eastAsia="Times New Roman" w:cs="Times New Roman"/>
          <w:b/>
          <w:sz w:val="24"/>
          <w:szCs w:val="24"/>
        </w:rPr>
      </w:pPr>
      <w:r>
        <w:rPr>
          <w:rFonts w:hint="default" w:ascii="Times New Roman" w:hAnsi="Times New Roman" w:eastAsia="Times New Roman" w:cs="Times New Roman"/>
          <w:b/>
          <w:sz w:val="24"/>
          <w:szCs w:val="24"/>
        </w:rPr>
        <w:t>METHODOLOGY</w:t>
      </w:r>
    </w:p>
    <w:p w14:paraId="00FCC9FA">
      <w:pPr>
        <w:keepNext w:val="0"/>
        <w:keepLines w:val="0"/>
        <w:pageBreakBefore w:val="0"/>
        <w:widowControl w:val="0"/>
        <w:kinsoku/>
        <w:wordWrap/>
        <w:overflowPunct/>
        <w:topLinePunct w:val="0"/>
        <w:autoSpaceDE/>
        <w:autoSpaceDN/>
        <w:bidi w:val="0"/>
        <w:adjustRightInd/>
        <w:snapToGrid/>
        <w:spacing w:beforeAutospacing="0" w:afterAutospacing="0" w:line="240" w:lineRule="auto"/>
        <w:jc w:val="both"/>
        <w:textAlignment w:val="auto"/>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This research concentrated on Thai food SMEs who work in the halal food industry their main business is producing and exporting of halal-certified products. Thailand offers an interesting avenue through which to investigate this phenomenon, as although it is not a Muslim majority country, it has emerged as one of the largest suppliers of halal food products to Muslim majority countries in Middle East and South-East Asia. Thailand's Halal food exports has been growing rapidly over the years, especially due to the increasing demand from abroad (Amara &amp; Touzani, 2023). The capacity of Thailand to exploit its halal certification in this cut-throat global market is heavily influenced by the public and private sector commitment to certify organic products. However, not all halal certificates are created equal because in different market and even within the same country or region certification standards and methods may differ for different issuing parties. Furthermore, the halal food market is expanding but the challenges are institutionally high in terms of ‘ability to access’ and ‘knowledge if they get certified’ are to be seen for Thai SMEs. These enterprises not only need to be able to negotiate the local regulatory environment, but they must also ensure that their certification is recognised by international counterparties across different markets. This is the institutional background which serves as the foundation to investigate how credible halal certification is associated with export performance.</w:t>
      </w:r>
    </w:p>
    <w:p w14:paraId="5D3B049E">
      <w:pPr>
        <w:keepNext w:val="0"/>
        <w:keepLines w:val="0"/>
        <w:pageBreakBefore w:val="0"/>
        <w:widowControl w:val="0"/>
        <w:kinsoku/>
        <w:wordWrap/>
        <w:overflowPunct/>
        <w:topLinePunct w:val="0"/>
        <w:autoSpaceDE/>
        <w:autoSpaceDN/>
        <w:bidi w:val="0"/>
        <w:adjustRightInd/>
        <w:snapToGrid/>
        <w:spacing w:beforeAutospacing="0" w:afterAutospacing="0" w:line="240" w:lineRule="auto"/>
        <w:jc w:val="both"/>
        <w:textAlignment w:val="auto"/>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Data The data used in this study were collected from a survey of 200 Thai food SMEs involved in halal food production and exports. The selected SMEs were recruited from a list of registered halal foods manufacturers in Thailand, emphasizing on products exported to Muslim-populated countries. A total of 15 in-depth interviews were carried out to complement the quantitative survey data posted from regulatory agencies, certification bodies and Top-Thai halal food SMEs’ upper executives. Interviews sought to elicit more richness regarding the challenges and opportunities with halal certification, and how credibility of certification affects export performance. These qualitative understandings were important for discussing the general environment in which halal certification is practiced as well as for deepening insights into institutional legitimacy that firms need to confront.</w:t>
      </w:r>
    </w:p>
    <w:p w14:paraId="42A2722C">
      <w:pPr>
        <w:keepNext w:val="0"/>
        <w:keepLines w:val="0"/>
        <w:pageBreakBefore w:val="0"/>
        <w:widowControl w:val="0"/>
        <w:kinsoku/>
        <w:wordWrap/>
        <w:overflowPunct/>
        <w:topLinePunct w:val="0"/>
        <w:autoSpaceDE/>
        <w:autoSpaceDN/>
        <w:bidi w:val="0"/>
        <w:adjustRightInd/>
        <w:snapToGrid/>
        <w:spacing w:beforeAutospacing="0" w:afterAutospacing="0" w:line="240" w:lineRule="auto"/>
        <w:jc w:val="both"/>
        <w:textAlignment w:val="auto"/>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A sample size of 200 SMEs was calculated using G*Power 3.1 to detect at least a small and the medium effect (0.15) for a desired power of 0.80, ensuring sufficient statistical power to discern moderate-sized interactions in regression models employed for hypothesis testing (Faul et al., 2009). Given the sample size, we are confident that the study will be adequately powered to detect substantive associations among halal certification credibility, institutional legitimacy and export performance.</w:t>
      </w:r>
    </w:p>
    <w:p w14:paraId="2170F0E2">
      <w:pPr>
        <w:keepNext w:val="0"/>
        <w:keepLines w:val="0"/>
        <w:pageBreakBefore w:val="0"/>
        <w:widowControl w:val="0"/>
        <w:kinsoku/>
        <w:wordWrap/>
        <w:overflowPunct/>
        <w:topLinePunct w:val="0"/>
        <w:autoSpaceDE/>
        <w:autoSpaceDN/>
        <w:bidi w:val="0"/>
        <w:adjustRightInd/>
        <w:snapToGrid/>
        <w:spacing w:beforeAutospacing="0" w:afterAutospacing="0" w:line="240" w:lineRule="auto"/>
        <w:jc w:val="both"/>
        <w:textAlignment w:val="auto"/>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Key constructs in the study were captured with the following:</w:t>
      </w:r>
    </w:p>
    <w:p w14:paraId="30AB0589">
      <w:pPr>
        <w:keepNext w:val="0"/>
        <w:keepLines w:val="0"/>
        <w:pageBreakBefore w:val="0"/>
        <w:widowControl w:val="0"/>
        <w:kinsoku/>
        <w:wordWrap/>
        <w:overflowPunct/>
        <w:topLinePunct w:val="0"/>
        <w:autoSpaceDE/>
        <w:autoSpaceDN/>
        <w:bidi w:val="0"/>
        <w:adjustRightInd/>
        <w:snapToGrid/>
        <w:spacing w:beforeAutospacing="0" w:afterAutospacing="0" w:line="240" w:lineRule="auto"/>
        <w:jc w:val="both"/>
        <w:textAlignment w:val="auto"/>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Halal Certification Credibility This was measured by using a 5-item scale adapted from Khan et al. (2023), is acceptable (α = 0.87; CR = 0.88 and AVE = 0.70). This measure evaluates the perception of credibility and legitimacy of halal certificates in other countries.</w:t>
      </w:r>
    </w:p>
    <w:p w14:paraId="3FF8A6FD">
      <w:pPr>
        <w:keepNext w:val="0"/>
        <w:keepLines w:val="0"/>
        <w:pageBreakBefore w:val="0"/>
        <w:widowControl w:val="0"/>
        <w:kinsoku/>
        <w:wordWrap/>
        <w:overflowPunct/>
        <w:topLinePunct w:val="0"/>
        <w:autoSpaceDE/>
        <w:autoSpaceDN/>
        <w:bidi w:val="0"/>
        <w:adjustRightInd/>
        <w:snapToGrid/>
        <w:spacing w:beforeAutospacing="0" w:afterAutospacing="0" w:line="240" w:lineRule="auto"/>
        <w:jc w:val="both"/>
        <w:textAlignment w:val="auto"/>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Export Performance: Assessed using a 6-item scale derived from Zou et al. (1998), can be observed in terms of simple figures like sales growth, market share and profitability in international markets. The scale had good reliability (α = 0.89), composite reliability (CR = 0.90) and sufficient AVE (0.72).</w:t>
      </w:r>
    </w:p>
    <w:p w14:paraId="16DBB3A5">
      <w:pPr>
        <w:keepNext w:val="0"/>
        <w:keepLines w:val="0"/>
        <w:pageBreakBefore w:val="0"/>
        <w:widowControl w:val="0"/>
        <w:kinsoku/>
        <w:wordWrap/>
        <w:overflowPunct/>
        <w:topLinePunct w:val="0"/>
        <w:autoSpaceDE/>
        <w:autoSpaceDN/>
        <w:bidi w:val="0"/>
        <w:adjustRightInd/>
        <w:snapToGrid/>
        <w:spacing w:beforeAutospacing="0" w:afterAutospacing="0" w:line="240" w:lineRule="auto"/>
        <w:jc w:val="both"/>
        <w:textAlignment w:val="auto"/>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Institutional Legitimacy: A four-item scale by Suchman (1995) measures the extent to which organizations conform to institutional norms and expectations, especially in foreign markets. This scale possessed an adequate internal consistency (α = 0.85), CR = 0.87, and AVE = 0.75.</w:t>
      </w:r>
    </w:p>
    <w:p w14:paraId="19483AC5">
      <w:pPr>
        <w:keepNext w:val="0"/>
        <w:keepLines w:val="0"/>
        <w:pageBreakBefore w:val="0"/>
        <w:widowControl w:val="0"/>
        <w:kinsoku/>
        <w:wordWrap/>
        <w:overflowPunct/>
        <w:topLinePunct w:val="0"/>
        <w:autoSpaceDE/>
        <w:autoSpaceDN/>
        <w:bidi w:val="0"/>
        <w:adjustRightInd/>
        <w:snapToGrid/>
        <w:spacing w:beforeAutospacing="0" w:afterAutospacing="0" w:line="240" w:lineRule="auto"/>
        <w:jc w:val="both"/>
        <w:textAlignment w:val="auto"/>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The hypotheses were tested using Structural Equation Modeling (SEM) and the relationship between halal certification credibility, institutional legitimacy and export performance was investigated. SEM has the advantage in this study with its concurrent estimation of multiple relationships between observed and latent variables. To mitigate possible concerns that the estimators estimate may be endogeneous, Instrumental Variables (IV) estimation was employed with government certification standards as a valid instrument for halal certification credibility. The IV technique can reduce the reverse causality and omitted variable bias, guaranteeing the effectiveness of the observed effects.</w:t>
      </w:r>
    </w:p>
    <w:p w14:paraId="1A558407">
      <w:pPr>
        <w:keepNext w:val="0"/>
        <w:keepLines w:val="0"/>
        <w:pageBreakBefore w:val="0"/>
        <w:widowControl w:val="0"/>
        <w:kinsoku/>
        <w:wordWrap/>
        <w:overflowPunct/>
        <w:topLinePunct w:val="0"/>
        <w:autoSpaceDE/>
        <w:autoSpaceDN/>
        <w:bidi w:val="0"/>
        <w:adjustRightInd/>
        <w:snapToGrid/>
        <w:spacing w:beforeAutospacing="0" w:afterAutospacing="0" w:line="240" w:lineRule="auto"/>
        <w:jc w:val="both"/>
        <w:textAlignment w:val="auto"/>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Sensitivity analyses were performed to confirm the findings. These involved carrying out alternative estimation with respect to any model specification, conducting placebo checks to scan for spurious effects and performing sensitivity analyses through bootstrapping. The findings were further tested by the Durbin-Wu-Hausman test for endogeneity, and IV regression was used if it was needed to confirm the robustness of results.</w:t>
      </w:r>
    </w:p>
    <w:p w14:paraId="60E27E27">
      <w:pPr>
        <w:keepNext w:val="0"/>
        <w:keepLines w:val="0"/>
        <w:pageBreakBefore w:val="0"/>
        <w:widowControl w:val="0"/>
        <w:kinsoku/>
        <w:wordWrap/>
        <w:overflowPunct/>
        <w:topLinePunct w:val="0"/>
        <w:autoSpaceDE/>
        <w:autoSpaceDN/>
        <w:bidi w:val="0"/>
        <w:adjustRightInd/>
        <w:snapToGrid/>
        <w:spacing w:beforeAutospacing="0" w:afterAutospacing="0" w:line="240" w:lineRule="auto"/>
        <w:jc w:val="both"/>
        <w:textAlignment w:val="auto"/>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This study was approved by the Institutional Review Board (IRB) of University of Thailand. Confidentiality was preserved throughout the study, and all participants signed an informed consent before taking part in the survey. The research complied with ethical considerations about participants' anonymity and the protection of data.</w:t>
      </w:r>
    </w:p>
    <w:p w14:paraId="0A21CD00">
      <w:pPr>
        <w:keepNext w:val="0"/>
        <w:keepLines w:val="0"/>
        <w:pageBreakBefore w:val="0"/>
        <w:widowControl w:val="0"/>
        <w:kinsoku/>
        <w:wordWrap/>
        <w:overflowPunct/>
        <w:topLinePunct w:val="0"/>
        <w:autoSpaceDE/>
        <w:autoSpaceDN/>
        <w:bidi w:val="0"/>
        <w:adjustRightInd/>
        <w:snapToGrid/>
        <w:spacing w:beforeAutospacing="0" w:afterAutospacing="0" w:line="240" w:lineRule="auto"/>
        <w:jc w:val="both"/>
        <w:textAlignment w:val="auto"/>
        <w:rPr>
          <w:rFonts w:hint="default" w:ascii="Times New Roman" w:hAnsi="Times New Roman" w:eastAsia="Times New Roman" w:cs="Times New Roman"/>
          <w:b/>
          <w:sz w:val="24"/>
          <w:szCs w:val="24"/>
        </w:rPr>
      </w:pPr>
      <w:r>
        <w:rPr>
          <w:rFonts w:hint="default" w:ascii="Times New Roman" w:hAnsi="Times New Roman" w:eastAsia="Times New Roman" w:cs="Times New Roman"/>
          <w:b/>
          <w:sz w:val="24"/>
          <w:szCs w:val="24"/>
        </w:rPr>
        <w:t>RESULTS</w:t>
      </w:r>
    </w:p>
    <w:p w14:paraId="76F89FBF">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Table 1 Descriptive Statistics for the Key Variables Used in the Analysis The average export performance score is 3.5 (on a 5-point scale), which suggests that the sample firms achieved moderate level of success in exporting. This appears to indicate that, while performers may largely fare well in foreign markets, more can be expected in terms of export performance. On the contrary, additional evidence shows that there is high perception among firms towards certification credibility with a mean of 4.0. This number is more significant; hence, most SMEs in the sample perceive their halal certification to be faithful and perceived should meet international standards. The index of legitimacy also suggests high levels of fit to the expectations of external stakeholders, as its mean is 4.2, meaning that these SMEs are appreciated in their institutional environments.</w:t>
      </w:r>
    </w:p>
    <w:p w14:paraId="1C8A2909">
      <w:pPr>
        <w:keepNext w:val="0"/>
        <w:keepLines w:val="0"/>
        <w:pageBreakBefore w:val="0"/>
        <w:widowControl w:val="0"/>
        <w:kinsoku/>
        <w:wordWrap/>
        <w:overflowPunct/>
        <w:topLinePunct w:val="0"/>
        <w:autoSpaceDE/>
        <w:autoSpaceDN/>
        <w:bidi w:val="0"/>
        <w:adjustRightInd/>
        <w:snapToGrid/>
        <w:spacing w:beforeAutospacing="0" w:afterAutospacing="0" w:line="240" w:lineRule="auto"/>
        <w:jc w:val="both"/>
        <w:textAlignment w:val="auto"/>
        <w:outlineLvl w:val="2"/>
        <w:rPr>
          <w:rFonts w:hint="default" w:ascii="Times New Roman" w:hAnsi="Times New Roman" w:eastAsia="Times New Roman" w:cs="Times New Roman"/>
          <w:b/>
          <w:bCs/>
          <w:sz w:val="24"/>
          <w:szCs w:val="24"/>
        </w:rPr>
      </w:pPr>
      <w:r>
        <w:rPr>
          <w:rFonts w:hint="default" w:ascii="Times New Roman" w:hAnsi="Times New Roman" w:eastAsia="Times New Roman" w:cs="Times New Roman"/>
          <w:b/>
          <w:bCs/>
          <w:sz w:val="24"/>
          <w:szCs w:val="24"/>
        </w:rPr>
        <w:t>Table 1: Descriptive Statistics for the Key Variables Used in the Analysis</w:t>
      </w:r>
    </w:p>
    <w:tbl>
      <w:tblPr>
        <w:tblStyle w:val="10"/>
        <w:tblW w:w="5000" w:type="pct"/>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531"/>
        <w:gridCol w:w="803"/>
        <w:gridCol w:w="1768"/>
        <w:gridCol w:w="3420"/>
      </w:tblGrid>
      <w:tr w14:paraId="60C57A23">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484" w:type="pct"/>
            <w:tcBorders>
              <w:bottom w:val="single" w:color="auto" w:sz="4" w:space="0"/>
              <w:insideH w:val="single" w:sz="8" w:space="0"/>
              <w:insideV w:val="nil"/>
            </w:tcBorders>
            <w:shd w:val="clear" w:color="auto" w:fill="FFFFFF"/>
          </w:tcPr>
          <w:p w14:paraId="6E63AD88">
            <w:pPr>
              <w:keepNext w:val="0"/>
              <w:keepLines w:val="0"/>
              <w:pageBreakBefore w:val="0"/>
              <w:widowControl w:val="0"/>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eastAsia="Times New Roman" w:cs="Times New Roman"/>
                <w:b/>
                <w:bCs/>
                <w:color w:val="000000" w:themeColor="text1" w:themeShade="BF"/>
                <w:sz w:val="24"/>
                <w:szCs w:val="24"/>
              </w:rPr>
            </w:pPr>
            <w:r>
              <w:rPr>
                <w:rFonts w:hint="default" w:ascii="Times New Roman" w:hAnsi="Times New Roman" w:eastAsia="Times New Roman" w:cs="Times New Roman"/>
                <w:b/>
                <w:bCs/>
                <w:color w:val="000000" w:themeColor="text1" w:themeShade="BF"/>
                <w:sz w:val="24"/>
                <w:szCs w:val="24"/>
              </w:rPr>
              <w:t>Variable</w:t>
            </w:r>
          </w:p>
        </w:tc>
        <w:tc>
          <w:tcPr>
            <w:tcW w:w="471" w:type="pct"/>
            <w:tcBorders>
              <w:bottom w:val="single" w:color="auto" w:sz="4" w:space="0"/>
              <w:insideH w:val="single" w:sz="8" w:space="0"/>
              <w:insideV w:val="nil"/>
            </w:tcBorders>
            <w:shd w:val="clear" w:color="auto" w:fill="FFFFFF"/>
          </w:tcPr>
          <w:p w14:paraId="15E7AD96">
            <w:pPr>
              <w:keepNext w:val="0"/>
              <w:keepLines w:val="0"/>
              <w:pageBreakBefore w:val="0"/>
              <w:widowControl w:val="0"/>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eastAsia="Times New Roman" w:cs="Times New Roman"/>
                <w:b/>
                <w:bCs/>
                <w:color w:val="000000" w:themeColor="text1" w:themeShade="BF"/>
                <w:sz w:val="24"/>
                <w:szCs w:val="24"/>
              </w:rPr>
            </w:pPr>
            <w:r>
              <w:rPr>
                <w:rFonts w:hint="default" w:ascii="Times New Roman" w:hAnsi="Times New Roman" w:eastAsia="Times New Roman" w:cs="Times New Roman"/>
                <w:b/>
                <w:bCs/>
                <w:color w:val="000000" w:themeColor="text1" w:themeShade="BF"/>
                <w:sz w:val="24"/>
                <w:szCs w:val="24"/>
              </w:rPr>
              <w:t>Mean</w:t>
            </w:r>
          </w:p>
        </w:tc>
        <w:tc>
          <w:tcPr>
            <w:tcW w:w="1037" w:type="pct"/>
            <w:tcBorders>
              <w:bottom w:val="single" w:color="auto" w:sz="4" w:space="0"/>
              <w:insideH w:val="single" w:sz="8" w:space="0"/>
              <w:insideV w:val="nil"/>
            </w:tcBorders>
            <w:shd w:val="clear" w:color="auto" w:fill="FFFFFF"/>
          </w:tcPr>
          <w:p w14:paraId="01BFBD2A">
            <w:pPr>
              <w:keepNext w:val="0"/>
              <w:keepLines w:val="0"/>
              <w:pageBreakBefore w:val="0"/>
              <w:widowControl w:val="0"/>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eastAsia="Times New Roman" w:cs="Times New Roman"/>
                <w:b/>
                <w:bCs/>
                <w:color w:val="000000" w:themeColor="text1" w:themeShade="BF"/>
                <w:sz w:val="24"/>
                <w:szCs w:val="24"/>
              </w:rPr>
            </w:pPr>
            <w:r>
              <w:rPr>
                <w:rFonts w:hint="default" w:ascii="Times New Roman" w:hAnsi="Times New Roman" w:eastAsia="Times New Roman" w:cs="Times New Roman"/>
                <w:b/>
                <w:bCs/>
                <w:color w:val="000000" w:themeColor="text1" w:themeShade="BF"/>
                <w:sz w:val="24"/>
                <w:szCs w:val="24"/>
              </w:rPr>
              <w:t>Standard Deviation</w:t>
            </w:r>
          </w:p>
        </w:tc>
        <w:tc>
          <w:tcPr>
            <w:tcW w:w="2005" w:type="pct"/>
            <w:tcBorders>
              <w:bottom w:val="single" w:color="auto" w:sz="4" w:space="0"/>
              <w:insideH w:val="single" w:sz="8" w:space="0"/>
              <w:insideV w:val="nil"/>
            </w:tcBorders>
            <w:shd w:val="clear" w:color="auto" w:fill="FFFFFF"/>
          </w:tcPr>
          <w:p w14:paraId="18BA0053">
            <w:pPr>
              <w:keepNext w:val="0"/>
              <w:keepLines w:val="0"/>
              <w:pageBreakBefore w:val="0"/>
              <w:widowControl w:val="0"/>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eastAsia="Times New Roman" w:cs="Times New Roman"/>
                <w:b/>
                <w:bCs/>
                <w:color w:val="000000" w:themeColor="text1" w:themeShade="BF"/>
                <w:sz w:val="24"/>
                <w:szCs w:val="24"/>
              </w:rPr>
            </w:pPr>
            <w:r>
              <w:rPr>
                <w:rFonts w:hint="default" w:ascii="Times New Roman" w:hAnsi="Times New Roman" w:eastAsia="Times New Roman" w:cs="Times New Roman"/>
                <w:b/>
                <w:bCs/>
                <w:color w:val="000000" w:themeColor="text1" w:themeShade="BF"/>
                <w:sz w:val="24"/>
                <w:szCs w:val="24"/>
              </w:rPr>
              <w:t>Correlation with Other Variables</w:t>
            </w:r>
          </w:p>
        </w:tc>
      </w:tr>
      <w:tr w14:paraId="1F9A23BC">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484" w:type="pct"/>
            <w:tcBorders>
              <w:top w:val="single" w:color="auto" w:sz="4" w:space="0"/>
              <w:insideV w:val="nil"/>
            </w:tcBorders>
            <w:shd w:val="clear" w:color="auto" w:fill="FFFFFF"/>
          </w:tcPr>
          <w:p w14:paraId="72346AE0">
            <w:pPr>
              <w:keepNext w:val="0"/>
              <w:keepLines w:val="0"/>
              <w:pageBreakBefore w:val="0"/>
              <w:widowControl w:val="0"/>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eastAsia="Times New Roman" w:cs="Times New Roman"/>
                <w:b/>
                <w:bCs/>
                <w:color w:val="000000" w:themeColor="text1" w:themeShade="BF"/>
                <w:sz w:val="24"/>
                <w:szCs w:val="24"/>
              </w:rPr>
            </w:pPr>
            <w:r>
              <w:rPr>
                <w:rFonts w:hint="default" w:ascii="Times New Roman" w:hAnsi="Times New Roman" w:eastAsia="Times New Roman" w:cs="Times New Roman"/>
                <w:b/>
                <w:bCs/>
                <w:color w:val="000000" w:themeColor="text1" w:themeShade="BF"/>
                <w:sz w:val="24"/>
                <w:szCs w:val="24"/>
              </w:rPr>
              <w:t>Export Performance</w:t>
            </w:r>
          </w:p>
        </w:tc>
        <w:tc>
          <w:tcPr>
            <w:tcW w:w="471" w:type="pct"/>
            <w:tcBorders>
              <w:top w:val="single" w:color="auto" w:sz="4" w:space="0"/>
              <w:insideV w:val="nil"/>
            </w:tcBorders>
            <w:shd w:val="clear" w:color="auto" w:fill="FFFFFF"/>
          </w:tcPr>
          <w:p w14:paraId="62D7400D">
            <w:pPr>
              <w:keepNext w:val="0"/>
              <w:keepLines w:val="0"/>
              <w:pageBreakBefore w:val="0"/>
              <w:widowControl w:val="0"/>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eastAsia="Times New Roman" w:cs="Times New Roman"/>
                <w:color w:val="000000" w:themeColor="text1" w:themeShade="BF"/>
                <w:sz w:val="24"/>
                <w:szCs w:val="24"/>
              </w:rPr>
            </w:pPr>
            <w:r>
              <w:rPr>
                <w:rFonts w:hint="default" w:ascii="Times New Roman" w:hAnsi="Times New Roman" w:eastAsia="Times New Roman" w:cs="Times New Roman"/>
                <w:color w:val="000000" w:themeColor="text1" w:themeShade="BF"/>
                <w:sz w:val="24"/>
                <w:szCs w:val="24"/>
              </w:rPr>
              <w:t>3.5</w:t>
            </w:r>
          </w:p>
        </w:tc>
        <w:tc>
          <w:tcPr>
            <w:tcW w:w="1037" w:type="pct"/>
            <w:tcBorders>
              <w:top w:val="single" w:color="auto" w:sz="4" w:space="0"/>
              <w:insideV w:val="nil"/>
            </w:tcBorders>
            <w:shd w:val="clear" w:color="auto" w:fill="FFFFFF"/>
          </w:tcPr>
          <w:p w14:paraId="1864BB49">
            <w:pPr>
              <w:keepNext w:val="0"/>
              <w:keepLines w:val="0"/>
              <w:pageBreakBefore w:val="0"/>
              <w:widowControl w:val="0"/>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eastAsia="Times New Roman" w:cs="Times New Roman"/>
                <w:color w:val="000000" w:themeColor="text1" w:themeShade="BF"/>
                <w:sz w:val="24"/>
                <w:szCs w:val="24"/>
              </w:rPr>
            </w:pPr>
            <w:r>
              <w:rPr>
                <w:rFonts w:hint="default" w:ascii="Times New Roman" w:hAnsi="Times New Roman" w:eastAsia="Times New Roman" w:cs="Times New Roman"/>
                <w:color w:val="000000" w:themeColor="text1" w:themeShade="BF"/>
                <w:sz w:val="24"/>
                <w:szCs w:val="24"/>
              </w:rPr>
              <w:t>-</w:t>
            </w:r>
          </w:p>
        </w:tc>
        <w:tc>
          <w:tcPr>
            <w:tcW w:w="2005" w:type="pct"/>
            <w:tcBorders>
              <w:top w:val="single" w:color="auto" w:sz="4" w:space="0"/>
              <w:insideV w:val="nil"/>
            </w:tcBorders>
            <w:shd w:val="clear" w:color="auto" w:fill="FFFFFF"/>
          </w:tcPr>
          <w:p w14:paraId="2E3C2EDD">
            <w:pPr>
              <w:keepNext w:val="0"/>
              <w:keepLines w:val="0"/>
              <w:pageBreakBefore w:val="0"/>
              <w:widowControl w:val="0"/>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eastAsia="Times New Roman" w:cs="Times New Roman"/>
                <w:color w:val="000000" w:themeColor="text1" w:themeShade="BF"/>
                <w:sz w:val="24"/>
                <w:szCs w:val="24"/>
              </w:rPr>
            </w:pPr>
            <w:r>
              <w:rPr>
                <w:rFonts w:hint="default" w:ascii="Times New Roman" w:hAnsi="Times New Roman" w:eastAsia="Times New Roman" w:cs="Times New Roman"/>
                <w:color w:val="000000" w:themeColor="text1" w:themeShade="BF"/>
                <w:sz w:val="24"/>
                <w:szCs w:val="24"/>
              </w:rPr>
              <w:t>Positive correlation with:</w:t>
            </w:r>
          </w:p>
        </w:tc>
      </w:tr>
      <w:tr w14:paraId="7A35A33F">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484" w:type="pct"/>
            <w:shd w:val="clear" w:color="auto" w:fill="FFFFFF"/>
          </w:tcPr>
          <w:p w14:paraId="0096B09B">
            <w:pPr>
              <w:keepNext w:val="0"/>
              <w:keepLines w:val="0"/>
              <w:pageBreakBefore w:val="0"/>
              <w:widowControl w:val="0"/>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eastAsia="Times New Roman" w:cs="Times New Roman"/>
                <w:b/>
                <w:bCs/>
                <w:color w:val="000000" w:themeColor="text1" w:themeShade="BF"/>
                <w:sz w:val="24"/>
                <w:szCs w:val="24"/>
              </w:rPr>
            </w:pPr>
          </w:p>
        </w:tc>
        <w:tc>
          <w:tcPr>
            <w:tcW w:w="471" w:type="pct"/>
            <w:shd w:val="clear" w:color="auto" w:fill="FFFFFF"/>
          </w:tcPr>
          <w:p w14:paraId="32D895C7">
            <w:pPr>
              <w:keepNext w:val="0"/>
              <w:keepLines w:val="0"/>
              <w:pageBreakBefore w:val="0"/>
              <w:widowControl w:val="0"/>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eastAsia="Times New Roman" w:cs="Times New Roman"/>
                <w:color w:val="000000" w:themeColor="text1" w:themeShade="BF"/>
                <w:sz w:val="24"/>
                <w:szCs w:val="24"/>
              </w:rPr>
            </w:pPr>
          </w:p>
        </w:tc>
        <w:tc>
          <w:tcPr>
            <w:tcW w:w="1037" w:type="pct"/>
            <w:shd w:val="clear" w:color="auto" w:fill="FFFFFF"/>
          </w:tcPr>
          <w:p w14:paraId="4EB1B1F4">
            <w:pPr>
              <w:keepNext w:val="0"/>
              <w:keepLines w:val="0"/>
              <w:pageBreakBefore w:val="0"/>
              <w:widowControl w:val="0"/>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eastAsia="Times New Roman" w:cs="Times New Roman"/>
                <w:color w:val="000000" w:themeColor="text1" w:themeShade="BF"/>
                <w:sz w:val="24"/>
                <w:szCs w:val="24"/>
              </w:rPr>
            </w:pPr>
          </w:p>
        </w:tc>
        <w:tc>
          <w:tcPr>
            <w:tcW w:w="2005" w:type="pct"/>
            <w:shd w:val="clear" w:color="auto" w:fill="FFFFFF"/>
          </w:tcPr>
          <w:p w14:paraId="3436DD26">
            <w:pPr>
              <w:keepNext w:val="0"/>
              <w:keepLines w:val="0"/>
              <w:pageBreakBefore w:val="0"/>
              <w:widowControl w:val="0"/>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eastAsia="Times New Roman" w:cs="Times New Roman"/>
                <w:color w:val="000000" w:themeColor="text1" w:themeShade="BF"/>
                <w:sz w:val="24"/>
                <w:szCs w:val="24"/>
              </w:rPr>
            </w:pPr>
            <w:r>
              <w:rPr>
                <w:rFonts w:hint="default" w:ascii="Times New Roman" w:hAnsi="Times New Roman" w:eastAsia="Times New Roman" w:cs="Times New Roman"/>
                <w:color w:val="000000" w:themeColor="text1" w:themeShade="BF"/>
                <w:sz w:val="24"/>
                <w:szCs w:val="24"/>
              </w:rPr>
              <w:t>Halal Certification Credibility (r = 0.55, p &lt; 0.01)</w:t>
            </w:r>
          </w:p>
        </w:tc>
      </w:tr>
      <w:tr w14:paraId="2FEB89FF">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484" w:type="pct"/>
            <w:tcBorders>
              <w:insideV w:val="nil"/>
            </w:tcBorders>
            <w:shd w:val="clear" w:color="auto" w:fill="FFFFFF"/>
          </w:tcPr>
          <w:p w14:paraId="06A3BFAB">
            <w:pPr>
              <w:keepNext w:val="0"/>
              <w:keepLines w:val="0"/>
              <w:pageBreakBefore w:val="0"/>
              <w:widowControl w:val="0"/>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eastAsia="Times New Roman" w:cs="Times New Roman"/>
                <w:b/>
                <w:bCs/>
                <w:color w:val="000000" w:themeColor="text1" w:themeShade="BF"/>
                <w:sz w:val="24"/>
                <w:szCs w:val="24"/>
              </w:rPr>
            </w:pPr>
          </w:p>
        </w:tc>
        <w:tc>
          <w:tcPr>
            <w:tcW w:w="471" w:type="pct"/>
            <w:tcBorders>
              <w:insideV w:val="nil"/>
            </w:tcBorders>
            <w:shd w:val="clear" w:color="auto" w:fill="FFFFFF"/>
          </w:tcPr>
          <w:p w14:paraId="73CB3774">
            <w:pPr>
              <w:keepNext w:val="0"/>
              <w:keepLines w:val="0"/>
              <w:pageBreakBefore w:val="0"/>
              <w:widowControl w:val="0"/>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eastAsia="Times New Roman" w:cs="Times New Roman"/>
                <w:color w:val="000000" w:themeColor="text1" w:themeShade="BF"/>
                <w:sz w:val="24"/>
                <w:szCs w:val="24"/>
              </w:rPr>
            </w:pPr>
          </w:p>
        </w:tc>
        <w:tc>
          <w:tcPr>
            <w:tcW w:w="1037" w:type="pct"/>
            <w:tcBorders>
              <w:insideV w:val="nil"/>
            </w:tcBorders>
            <w:shd w:val="clear" w:color="auto" w:fill="FFFFFF"/>
          </w:tcPr>
          <w:p w14:paraId="14E24B63">
            <w:pPr>
              <w:keepNext w:val="0"/>
              <w:keepLines w:val="0"/>
              <w:pageBreakBefore w:val="0"/>
              <w:widowControl w:val="0"/>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eastAsia="Times New Roman" w:cs="Times New Roman"/>
                <w:color w:val="000000" w:themeColor="text1" w:themeShade="BF"/>
                <w:sz w:val="24"/>
                <w:szCs w:val="24"/>
              </w:rPr>
            </w:pPr>
          </w:p>
        </w:tc>
        <w:tc>
          <w:tcPr>
            <w:tcW w:w="2005" w:type="pct"/>
            <w:tcBorders>
              <w:insideV w:val="nil"/>
            </w:tcBorders>
            <w:shd w:val="clear" w:color="auto" w:fill="FFFFFF"/>
          </w:tcPr>
          <w:p w14:paraId="6760B74C">
            <w:pPr>
              <w:keepNext w:val="0"/>
              <w:keepLines w:val="0"/>
              <w:pageBreakBefore w:val="0"/>
              <w:widowControl w:val="0"/>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eastAsia="Times New Roman" w:cs="Times New Roman"/>
                <w:color w:val="000000" w:themeColor="text1" w:themeShade="BF"/>
                <w:sz w:val="24"/>
                <w:szCs w:val="24"/>
              </w:rPr>
            </w:pPr>
            <w:r>
              <w:rPr>
                <w:rFonts w:hint="default" w:ascii="Times New Roman" w:hAnsi="Times New Roman" w:eastAsia="Times New Roman" w:cs="Times New Roman"/>
                <w:color w:val="000000" w:themeColor="text1" w:themeShade="BF"/>
                <w:sz w:val="24"/>
                <w:szCs w:val="24"/>
              </w:rPr>
              <w:t>Institutional Legitimacy (r = 0.62, p &lt; 0.01)</w:t>
            </w:r>
          </w:p>
        </w:tc>
      </w:tr>
      <w:tr w14:paraId="6F78B727">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484" w:type="pct"/>
            <w:shd w:val="clear" w:color="auto" w:fill="FFFFFF"/>
          </w:tcPr>
          <w:p w14:paraId="3F731CEB">
            <w:pPr>
              <w:keepNext w:val="0"/>
              <w:keepLines w:val="0"/>
              <w:pageBreakBefore w:val="0"/>
              <w:widowControl w:val="0"/>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eastAsia="Times New Roman" w:cs="Times New Roman"/>
                <w:b/>
                <w:bCs/>
                <w:color w:val="000000" w:themeColor="text1" w:themeShade="BF"/>
                <w:sz w:val="24"/>
                <w:szCs w:val="24"/>
              </w:rPr>
            </w:pPr>
            <w:r>
              <w:rPr>
                <w:rFonts w:hint="default" w:ascii="Times New Roman" w:hAnsi="Times New Roman" w:eastAsia="Times New Roman" w:cs="Times New Roman"/>
                <w:b/>
                <w:bCs/>
                <w:color w:val="000000" w:themeColor="text1" w:themeShade="BF"/>
                <w:sz w:val="24"/>
                <w:szCs w:val="24"/>
              </w:rPr>
              <w:t>Halal Certification Credibility</w:t>
            </w:r>
          </w:p>
        </w:tc>
        <w:tc>
          <w:tcPr>
            <w:tcW w:w="471" w:type="pct"/>
            <w:shd w:val="clear" w:color="auto" w:fill="FFFFFF"/>
          </w:tcPr>
          <w:p w14:paraId="664D09FC">
            <w:pPr>
              <w:keepNext w:val="0"/>
              <w:keepLines w:val="0"/>
              <w:pageBreakBefore w:val="0"/>
              <w:widowControl w:val="0"/>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eastAsia="Times New Roman" w:cs="Times New Roman"/>
                <w:color w:val="000000" w:themeColor="text1" w:themeShade="BF"/>
                <w:sz w:val="24"/>
                <w:szCs w:val="24"/>
              </w:rPr>
            </w:pPr>
            <w:r>
              <w:rPr>
                <w:rFonts w:hint="default" w:ascii="Times New Roman" w:hAnsi="Times New Roman" w:eastAsia="Times New Roman" w:cs="Times New Roman"/>
                <w:color w:val="000000" w:themeColor="text1" w:themeShade="BF"/>
                <w:sz w:val="24"/>
                <w:szCs w:val="24"/>
              </w:rPr>
              <w:t>4.0</w:t>
            </w:r>
          </w:p>
        </w:tc>
        <w:tc>
          <w:tcPr>
            <w:tcW w:w="1037" w:type="pct"/>
            <w:shd w:val="clear" w:color="auto" w:fill="FFFFFF"/>
          </w:tcPr>
          <w:p w14:paraId="24EF82B7">
            <w:pPr>
              <w:keepNext w:val="0"/>
              <w:keepLines w:val="0"/>
              <w:pageBreakBefore w:val="0"/>
              <w:widowControl w:val="0"/>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eastAsia="Times New Roman" w:cs="Times New Roman"/>
                <w:color w:val="000000" w:themeColor="text1" w:themeShade="BF"/>
                <w:sz w:val="24"/>
                <w:szCs w:val="24"/>
              </w:rPr>
            </w:pPr>
            <w:r>
              <w:rPr>
                <w:rFonts w:hint="default" w:ascii="Times New Roman" w:hAnsi="Times New Roman" w:eastAsia="Times New Roman" w:cs="Times New Roman"/>
                <w:color w:val="000000" w:themeColor="text1" w:themeShade="BF"/>
                <w:sz w:val="24"/>
                <w:szCs w:val="24"/>
              </w:rPr>
              <w:t>-</w:t>
            </w:r>
          </w:p>
        </w:tc>
        <w:tc>
          <w:tcPr>
            <w:tcW w:w="2005" w:type="pct"/>
            <w:shd w:val="clear" w:color="auto" w:fill="FFFFFF"/>
          </w:tcPr>
          <w:p w14:paraId="58F97E7F">
            <w:pPr>
              <w:keepNext w:val="0"/>
              <w:keepLines w:val="0"/>
              <w:pageBreakBefore w:val="0"/>
              <w:widowControl w:val="0"/>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eastAsia="Times New Roman" w:cs="Times New Roman"/>
                <w:color w:val="000000" w:themeColor="text1" w:themeShade="BF"/>
                <w:sz w:val="24"/>
                <w:szCs w:val="24"/>
              </w:rPr>
            </w:pPr>
            <w:r>
              <w:rPr>
                <w:rFonts w:hint="default" w:ascii="Times New Roman" w:hAnsi="Times New Roman" w:eastAsia="Times New Roman" w:cs="Times New Roman"/>
                <w:color w:val="000000" w:themeColor="text1" w:themeShade="BF"/>
                <w:sz w:val="24"/>
                <w:szCs w:val="24"/>
              </w:rPr>
              <w:t>Positive correlation with:</w:t>
            </w:r>
          </w:p>
        </w:tc>
      </w:tr>
      <w:tr w14:paraId="519ADF87">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484" w:type="pct"/>
            <w:tcBorders>
              <w:insideV w:val="nil"/>
            </w:tcBorders>
            <w:shd w:val="clear" w:color="auto" w:fill="FFFFFF"/>
          </w:tcPr>
          <w:p w14:paraId="56562E2E">
            <w:pPr>
              <w:keepNext w:val="0"/>
              <w:keepLines w:val="0"/>
              <w:pageBreakBefore w:val="0"/>
              <w:widowControl w:val="0"/>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eastAsia="Times New Roman" w:cs="Times New Roman"/>
                <w:b/>
                <w:bCs/>
                <w:color w:val="000000" w:themeColor="text1" w:themeShade="BF"/>
                <w:sz w:val="24"/>
                <w:szCs w:val="24"/>
              </w:rPr>
            </w:pPr>
          </w:p>
        </w:tc>
        <w:tc>
          <w:tcPr>
            <w:tcW w:w="471" w:type="pct"/>
            <w:tcBorders>
              <w:insideV w:val="nil"/>
            </w:tcBorders>
            <w:shd w:val="clear" w:color="auto" w:fill="FFFFFF"/>
          </w:tcPr>
          <w:p w14:paraId="514FEB52">
            <w:pPr>
              <w:keepNext w:val="0"/>
              <w:keepLines w:val="0"/>
              <w:pageBreakBefore w:val="0"/>
              <w:widowControl w:val="0"/>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eastAsia="Times New Roman" w:cs="Times New Roman"/>
                <w:color w:val="000000" w:themeColor="text1" w:themeShade="BF"/>
                <w:sz w:val="24"/>
                <w:szCs w:val="24"/>
              </w:rPr>
            </w:pPr>
          </w:p>
        </w:tc>
        <w:tc>
          <w:tcPr>
            <w:tcW w:w="1037" w:type="pct"/>
            <w:tcBorders>
              <w:insideV w:val="nil"/>
            </w:tcBorders>
            <w:shd w:val="clear" w:color="auto" w:fill="FFFFFF"/>
          </w:tcPr>
          <w:p w14:paraId="66851437">
            <w:pPr>
              <w:keepNext w:val="0"/>
              <w:keepLines w:val="0"/>
              <w:pageBreakBefore w:val="0"/>
              <w:widowControl w:val="0"/>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eastAsia="Times New Roman" w:cs="Times New Roman"/>
                <w:color w:val="000000" w:themeColor="text1" w:themeShade="BF"/>
                <w:sz w:val="24"/>
                <w:szCs w:val="24"/>
              </w:rPr>
            </w:pPr>
          </w:p>
        </w:tc>
        <w:tc>
          <w:tcPr>
            <w:tcW w:w="2005" w:type="pct"/>
            <w:tcBorders>
              <w:insideV w:val="nil"/>
            </w:tcBorders>
            <w:shd w:val="clear" w:color="auto" w:fill="FFFFFF"/>
          </w:tcPr>
          <w:p w14:paraId="119885A7">
            <w:pPr>
              <w:keepNext w:val="0"/>
              <w:keepLines w:val="0"/>
              <w:pageBreakBefore w:val="0"/>
              <w:widowControl w:val="0"/>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eastAsia="Times New Roman" w:cs="Times New Roman"/>
                <w:color w:val="000000" w:themeColor="text1" w:themeShade="BF"/>
                <w:sz w:val="24"/>
                <w:szCs w:val="24"/>
              </w:rPr>
            </w:pPr>
            <w:r>
              <w:rPr>
                <w:rFonts w:hint="default" w:ascii="Times New Roman" w:hAnsi="Times New Roman" w:eastAsia="Times New Roman" w:cs="Times New Roman"/>
                <w:color w:val="000000" w:themeColor="text1" w:themeShade="BF"/>
                <w:sz w:val="24"/>
                <w:szCs w:val="24"/>
              </w:rPr>
              <w:t>Institutional Legitimacy (r = 0.68, p &lt; 0.01)</w:t>
            </w:r>
          </w:p>
        </w:tc>
      </w:tr>
      <w:tr w14:paraId="15BBDFAA">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484" w:type="pct"/>
            <w:shd w:val="clear" w:color="auto" w:fill="FFFFFF"/>
          </w:tcPr>
          <w:p w14:paraId="79DFBDFB">
            <w:pPr>
              <w:keepNext w:val="0"/>
              <w:keepLines w:val="0"/>
              <w:pageBreakBefore w:val="0"/>
              <w:widowControl w:val="0"/>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eastAsia="Times New Roman" w:cs="Times New Roman"/>
                <w:b/>
                <w:bCs/>
                <w:color w:val="000000" w:themeColor="text1" w:themeShade="BF"/>
                <w:sz w:val="24"/>
                <w:szCs w:val="24"/>
              </w:rPr>
            </w:pPr>
          </w:p>
        </w:tc>
        <w:tc>
          <w:tcPr>
            <w:tcW w:w="471" w:type="pct"/>
            <w:shd w:val="clear" w:color="auto" w:fill="FFFFFF"/>
          </w:tcPr>
          <w:p w14:paraId="425303C2">
            <w:pPr>
              <w:keepNext w:val="0"/>
              <w:keepLines w:val="0"/>
              <w:pageBreakBefore w:val="0"/>
              <w:widowControl w:val="0"/>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eastAsia="Times New Roman" w:cs="Times New Roman"/>
                <w:color w:val="000000" w:themeColor="text1" w:themeShade="BF"/>
                <w:sz w:val="24"/>
                <w:szCs w:val="24"/>
              </w:rPr>
            </w:pPr>
          </w:p>
        </w:tc>
        <w:tc>
          <w:tcPr>
            <w:tcW w:w="1037" w:type="pct"/>
            <w:shd w:val="clear" w:color="auto" w:fill="FFFFFF"/>
          </w:tcPr>
          <w:p w14:paraId="4A25E2A5">
            <w:pPr>
              <w:keepNext w:val="0"/>
              <w:keepLines w:val="0"/>
              <w:pageBreakBefore w:val="0"/>
              <w:widowControl w:val="0"/>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eastAsia="Times New Roman" w:cs="Times New Roman"/>
                <w:color w:val="000000" w:themeColor="text1" w:themeShade="BF"/>
                <w:sz w:val="24"/>
                <w:szCs w:val="24"/>
              </w:rPr>
            </w:pPr>
          </w:p>
        </w:tc>
        <w:tc>
          <w:tcPr>
            <w:tcW w:w="2005" w:type="pct"/>
            <w:shd w:val="clear" w:color="auto" w:fill="FFFFFF"/>
          </w:tcPr>
          <w:p w14:paraId="094A59EF">
            <w:pPr>
              <w:keepNext w:val="0"/>
              <w:keepLines w:val="0"/>
              <w:pageBreakBefore w:val="0"/>
              <w:widowControl w:val="0"/>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eastAsia="Times New Roman" w:cs="Times New Roman"/>
                <w:color w:val="000000" w:themeColor="text1" w:themeShade="BF"/>
                <w:sz w:val="24"/>
                <w:szCs w:val="24"/>
              </w:rPr>
            </w:pPr>
            <w:r>
              <w:rPr>
                <w:rFonts w:hint="default" w:ascii="Times New Roman" w:hAnsi="Times New Roman" w:eastAsia="Times New Roman" w:cs="Times New Roman"/>
                <w:color w:val="000000" w:themeColor="text1" w:themeShade="BF"/>
                <w:sz w:val="24"/>
                <w:szCs w:val="24"/>
              </w:rPr>
              <w:t>Export Performance (r = 0.55, p &lt; 0.01)</w:t>
            </w:r>
          </w:p>
        </w:tc>
      </w:tr>
      <w:tr w14:paraId="57476F5C">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484" w:type="pct"/>
            <w:tcBorders>
              <w:insideV w:val="nil"/>
            </w:tcBorders>
            <w:shd w:val="clear" w:color="auto" w:fill="FFFFFF"/>
          </w:tcPr>
          <w:p w14:paraId="67194C91">
            <w:pPr>
              <w:keepNext w:val="0"/>
              <w:keepLines w:val="0"/>
              <w:pageBreakBefore w:val="0"/>
              <w:widowControl w:val="0"/>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eastAsia="Times New Roman" w:cs="Times New Roman"/>
                <w:b/>
                <w:bCs/>
                <w:color w:val="000000" w:themeColor="text1" w:themeShade="BF"/>
                <w:sz w:val="24"/>
                <w:szCs w:val="24"/>
              </w:rPr>
            </w:pPr>
            <w:r>
              <w:rPr>
                <w:rFonts w:hint="default" w:ascii="Times New Roman" w:hAnsi="Times New Roman" w:eastAsia="Times New Roman" w:cs="Times New Roman"/>
                <w:b/>
                <w:bCs/>
                <w:color w:val="000000" w:themeColor="text1" w:themeShade="BF"/>
                <w:sz w:val="24"/>
                <w:szCs w:val="24"/>
              </w:rPr>
              <w:t>Institutional Legitimacy</w:t>
            </w:r>
          </w:p>
        </w:tc>
        <w:tc>
          <w:tcPr>
            <w:tcW w:w="471" w:type="pct"/>
            <w:tcBorders>
              <w:insideV w:val="nil"/>
            </w:tcBorders>
            <w:shd w:val="clear" w:color="auto" w:fill="FFFFFF"/>
          </w:tcPr>
          <w:p w14:paraId="52B26705">
            <w:pPr>
              <w:keepNext w:val="0"/>
              <w:keepLines w:val="0"/>
              <w:pageBreakBefore w:val="0"/>
              <w:widowControl w:val="0"/>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eastAsia="Times New Roman" w:cs="Times New Roman"/>
                <w:color w:val="000000" w:themeColor="text1" w:themeShade="BF"/>
                <w:sz w:val="24"/>
                <w:szCs w:val="24"/>
              </w:rPr>
            </w:pPr>
            <w:r>
              <w:rPr>
                <w:rFonts w:hint="default" w:ascii="Times New Roman" w:hAnsi="Times New Roman" w:eastAsia="Times New Roman" w:cs="Times New Roman"/>
                <w:color w:val="000000" w:themeColor="text1" w:themeShade="BF"/>
                <w:sz w:val="24"/>
                <w:szCs w:val="24"/>
              </w:rPr>
              <w:t>4.2</w:t>
            </w:r>
          </w:p>
        </w:tc>
        <w:tc>
          <w:tcPr>
            <w:tcW w:w="1037" w:type="pct"/>
            <w:tcBorders>
              <w:insideV w:val="nil"/>
            </w:tcBorders>
            <w:shd w:val="clear" w:color="auto" w:fill="FFFFFF"/>
          </w:tcPr>
          <w:p w14:paraId="027F1C42">
            <w:pPr>
              <w:keepNext w:val="0"/>
              <w:keepLines w:val="0"/>
              <w:pageBreakBefore w:val="0"/>
              <w:widowControl w:val="0"/>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eastAsia="Times New Roman" w:cs="Times New Roman"/>
                <w:color w:val="000000" w:themeColor="text1" w:themeShade="BF"/>
                <w:sz w:val="24"/>
                <w:szCs w:val="24"/>
              </w:rPr>
            </w:pPr>
            <w:r>
              <w:rPr>
                <w:rFonts w:hint="default" w:ascii="Times New Roman" w:hAnsi="Times New Roman" w:eastAsia="Times New Roman" w:cs="Times New Roman"/>
                <w:color w:val="000000" w:themeColor="text1" w:themeShade="BF"/>
                <w:sz w:val="24"/>
                <w:szCs w:val="24"/>
              </w:rPr>
              <w:t>-</w:t>
            </w:r>
          </w:p>
        </w:tc>
        <w:tc>
          <w:tcPr>
            <w:tcW w:w="2005" w:type="pct"/>
            <w:tcBorders>
              <w:insideV w:val="nil"/>
            </w:tcBorders>
            <w:shd w:val="clear" w:color="auto" w:fill="FFFFFF"/>
          </w:tcPr>
          <w:p w14:paraId="3E881DFE">
            <w:pPr>
              <w:keepNext w:val="0"/>
              <w:keepLines w:val="0"/>
              <w:pageBreakBefore w:val="0"/>
              <w:widowControl w:val="0"/>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eastAsia="Times New Roman" w:cs="Times New Roman"/>
                <w:color w:val="000000" w:themeColor="text1" w:themeShade="BF"/>
                <w:sz w:val="24"/>
                <w:szCs w:val="24"/>
              </w:rPr>
            </w:pPr>
            <w:r>
              <w:rPr>
                <w:rFonts w:hint="default" w:ascii="Times New Roman" w:hAnsi="Times New Roman" w:eastAsia="Times New Roman" w:cs="Times New Roman"/>
                <w:color w:val="000000" w:themeColor="text1" w:themeShade="BF"/>
                <w:sz w:val="24"/>
                <w:szCs w:val="24"/>
              </w:rPr>
              <w:t>Positive correlation with:</w:t>
            </w:r>
          </w:p>
        </w:tc>
      </w:tr>
      <w:tr w14:paraId="293FD6CF">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484" w:type="pct"/>
            <w:shd w:val="clear" w:color="auto" w:fill="FFFFFF"/>
          </w:tcPr>
          <w:p w14:paraId="50A70735">
            <w:pPr>
              <w:keepNext w:val="0"/>
              <w:keepLines w:val="0"/>
              <w:pageBreakBefore w:val="0"/>
              <w:widowControl w:val="0"/>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eastAsia="Times New Roman" w:cs="Times New Roman"/>
                <w:b/>
                <w:bCs/>
                <w:color w:val="000000" w:themeColor="text1" w:themeShade="BF"/>
                <w:sz w:val="24"/>
                <w:szCs w:val="24"/>
              </w:rPr>
            </w:pPr>
          </w:p>
        </w:tc>
        <w:tc>
          <w:tcPr>
            <w:tcW w:w="471" w:type="pct"/>
            <w:shd w:val="clear" w:color="auto" w:fill="FFFFFF"/>
          </w:tcPr>
          <w:p w14:paraId="341B2505">
            <w:pPr>
              <w:keepNext w:val="0"/>
              <w:keepLines w:val="0"/>
              <w:pageBreakBefore w:val="0"/>
              <w:widowControl w:val="0"/>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eastAsia="Times New Roman" w:cs="Times New Roman"/>
                <w:color w:val="000000" w:themeColor="text1" w:themeShade="BF"/>
                <w:sz w:val="24"/>
                <w:szCs w:val="24"/>
              </w:rPr>
            </w:pPr>
          </w:p>
        </w:tc>
        <w:tc>
          <w:tcPr>
            <w:tcW w:w="1037" w:type="pct"/>
            <w:shd w:val="clear" w:color="auto" w:fill="FFFFFF"/>
          </w:tcPr>
          <w:p w14:paraId="146D6C3D">
            <w:pPr>
              <w:keepNext w:val="0"/>
              <w:keepLines w:val="0"/>
              <w:pageBreakBefore w:val="0"/>
              <w:widowControl w:val="0"/>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eastAsia="Times New Roman" w:cs="Times New Roman"/>
                <w:color w:val="000000" w:themeColor="text1" w:themeShade="BF"/>
                <w:sz w:val="24"/>
                <w:szCs w:val="24"/>
              </w:rPr>
            </w:pPr>
          </w:p>
        </w:tc>
        <w:tc>
          <w:tcPr>
            <w:tcW w:w="2005" w:type="pct"/>
            <w:shd w:val="clear" w:color="auto" w:fill="FFFFFF"/>
          </w:tcPr>
          <w:p w14:paraId="79766DD3">
            <w:pPr>
              <w:keepNext w:val="0"/>
              <w:keepLines w:val="0"/>
              <w:pageBreakBefore w:val="0"/>
              <w:widowControl w:val="0"/>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eastAsia="Times New Roman" w:cs="Times New Roman"/>
                <w:color w:val="000000" w:themeColor="text1" w:themeShade="BF"/>
                <w:sz w:val="24"/>
                <w:szCs w:val="24"/>
              </w:rPr>
            </w:pPr>
            <w:r>
              <w:rPr>
                <w:rFonts w:hint="default" w:ascii="Times New Roman" w:hAnsi="Times New Roman" w:eastAsia="Times New Roman" w:cs="Times New Roman"/>
                <w:color w:val="000000" w:themeColor="text1" w:themeShade="BF"/>
                <w:sz w:val="24"/>
                <w:szCs w:val="24"/>
              </w:rPr>
              <w:t>Halal Certification Credibility (r = 0.68, p &lt; 0.01)</w:t>
            </w:r>
          </w:p>
        </w:tc>
      </w:tr>
      <w:tr w14:paraId="69BA521C">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484" w:type="pct"/>
            <w:tcBorders>
              <w:insideV w:val="nil"/>
            </w:tcBorders>
            <w:shd w:val="clear" w:color="auto" w:fill="FFFFFF"/>
          </w:tcPr>
          <w:p w14:paraId="2ACEB303">
            <w:pPr>
              <w:keepNext w:val="0"/>
              <w:keepLines w:val="0"/>
              <w:pageBreakBefore w:val="0"/>
              <w:widowControl w:val="0"/>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eastAsia="Times New Roman" w:cs="Times New Roman"/>
                <w:b/>
                <w:bCs/>
                <w:color w:val="000000" w:themeColor="text1" w:themeShade="BF"/>
                <w:sz w:val="24"/>
                <w:szCs w:val="24"/>
              </w:rPr>
            </w:pPr>
          </w:p>
        </w:tc>
        <w:tc>
          <w:tcPr>
            <w:tcW w:w="471" w:type="pct"/>
            <w:tcBorders>
              <w:insideV w:val="nil"/>
            </w:tcBorders>
            <w:shd w:val="clear" w:color="auto" w:fill="FFFFFF"/>
          </w:tcPr>
          <w:p w14:paraId="37FBF056">
            <w:pPr>
              <w:keepNext w:val="0"/>
              <w:keepLines w:val="0"/>
              <w:pageBreakBefore w:val="0"/>
              <w:widowControl w:val="0"/>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eastAsia="Times New Roman" w:cs="Times New Roman"/>
                <w:color w:val="000000" w:themeColor="text1" w:themeShade="BF"/>
                <w:sz w:val="24"/>
                <w:szCs w:val="24"/>
              </w:rPr>
            </w:pPr>
          </w:p>
        </w:tc>
        <w:tc>
          <w:tcPr>
            <w:tcW w:w="1037" w:type="pct"/>
            <w:tcBorders>
              <w:insideV w:val="nil"/>
            </w:tcBorders>
            <w:shd w:val="clear" w:color="auto" w:fill="FFFFFF"/>
          </w:tcPr>
          <w:p w14:paraId="183378E8">
            <w:pPr>
              <w:keepNext w:val="0"/>
              <w:keepLines w:val="0"/>
              <w:pageBreakBefore w:val="0"/>
              <w:widowControl w:val="0"/>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eastAsia="Times New Roman" w:cs="Times New Roman"/>
                <w:color w:val="000000" w:themeColor="text1" w:themeShade="BF"/>
                <w:sz w:val="24"/>
                <w:szCs w:val="24"/>
              </w:rPr>
            </w:pPr>
          </w:p>
        </w:tc>
        <w:tc>
          <w:tcPr>
            <w:tcW w:w="2005" w:type="pct"/>
            <w:tcBorders>
              <w:insideV w:val="nil"/>
            </w:tcBorders>
            <w:shd w:val="clear" w:color="auto" w:fill="FFFFFF"/>
          </w:tcPr>
          <w:p w14:paraId="086EEB9C">
            <w:pPr>
              <w:keepNext w:val="0"/>
              <w:keepLines w:val="0"/>
              <w:pageBreakBefore w:val="0"/>
              <w:widowControl w:val="0"/>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eastAsia="Times New Roman" w:cs="Times New Roman"/>
                <w:color w:val="000000" w:themeColor="text1" w:themeShade="BF"/>
                <w:sz w:val="24"/>
                <w:szCs w:val="24"/>
              </w:rPr>
            </w:pPr>
            <w:r>
              <w:rPr>
                <w:rFonts w:hint="default" w:ascii="Times New Roman" w:hAnsi="Times New Roman" w:eastAsia="Times New Roman" w:cs="Times New Roman"/>
                <w:color w:val="000000" w:themeColor="text1" w:themeShade="BF"/>
                <w:sz w:val="24"/>
                <w:szCs w:val="24"/>
              </w:rPr>
              <w:t>Export Performance (r = 0.62, p &lt; 0.01)</w:t>
            </w:r>
          </w:p>
        </w:tc>
      </w:tr>
    </w:tbl>
    <w:p w14:paraId="5A0EA989">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correlation analysis also indicates that there are positive significant correlations between halal certification credibility, institutional legitimacy and export performance. That is, the perceived credibility of halal certification is significantly positively associated with institutional legitimacy (r = 0.68, p &lt; 0.01), supporting that as higher the perception of the halal certification authority becomes, higher will be the firm aligning to institutional norms. Second, institutional legitimacy is positively associated with export performance (r = 0.62, p &lt; 0.01), which indicates that firms with higher levels of institutional legitimacy are more likely to perform better in the export area. Lastly, halal certification credibility is significantly positively associated with export performance (r = 0.55, p &lt; 0.01), thus offering initial support for the influence of certification credibility on export success.</w:t>
      </w:r>
    </w:p>
    <w:p w14:paraId="7376692D">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Table 2 presents the results of some robustness checks conducted to show that the from our findings are reliable. Additional estimators, such as IV regression were used to test the robustness of these results. Use of IV regression with government certification standards as the instrument for halal certification credibility validates the results. The IV regression results indicate that the linkage of halal certifiation credibility with export performance remains significant when addressing endogeneity concerns.</w:t>
      </w:r>
    </w:p>
    <w:p w14:paraId="23719A12">
      <w:pPr>
        <w:keepNext w:val="0"/>
        <w:keepLines w:val="0"/>
        <w:pageBreakBefore w:val="0"/>
        <w:widowControl w:val="0"/>
        <w:kinsoku/>
        <w:wordWrap/>
        <w:overflowPunct/>
        <w:topLinePunct w:val="0"/>
        <w:autoSpaceDE/>
        <w:autoSpaceDN/>
        <w:bidi w:val="0"/>
        <w:adjustRightInd/>
        <w:snapToGrid/>
        <w:spacing w:beforeAutospacing="0" w:afterAutospacing="0" w:line="240" w:lineRule="auto"/>
        <w:jc w:val="both"/>
        <w:textAlignment w:val="auto"/>
        <w:outlineLvl w:val="2"/>
        <w:rPr>
          <w:rFonts w:hint="default" w:ascii="Times New Roman" w:hAnsi="Times New Roman" w:eastAsia="Times New Roman" w:cs="Times New Roman"/>
          <w:b/>
          <w:bCs/>
          <w:sz w:val="24"/>
          <w:szCs w:val="24"/>
        </w:rPr>
      </w:pPr>
      <w:r>
        <w:rPr>
          <w:rFonts w:hint="default" w:ascii="Times New Roman" w:hAnsi="Times New Roman" w:eastAsia="Times New Roman" w:cs="Times New Roman"/>
          <w:b/>
          <w:bCs/>
          <w:sz w:val="24"/>
          <w:szCs w:val="24"/>
        </w:rPr>
        <w:t>Table 2: Results of Robustness Checks</w:t>
      </w:r>
    </w:p>
    <w:tbl>
      <w:tblPr>
        <w:tblStyle w:val="10"/>
        <w:tblW w:w="5000" w:type="pct"/>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805"/>
        <w:gridCol w:w="3251"/>
        <w:gridCol w:w="3466"/>
      </w:tblGrid>
      <w:tr w14:paraId="32A8FB77">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059" w:type="pct"/>
            <w:tcBorders>
              <w:bottom w:val="single" w:color="auto" w:sz="4" w:space="0"/>
              <w:insideH w:val="single" w:sz="8" w:space="0"/>
              <w:insideV w:val="nil"/>
            </w:tcBorders>
            <w:shd w:val="clear" w:color="auto" w:fill="FFFFFF"/>
          </w:tcPr>
          <w:p w14:paraId="09B65A3B">
            <w:pPr>
              <w:keepNext w:val="0"/>
              <w:keepLines w:val="0"/>
              <w:pageBreakBefore w:val="0"/>
              <w:widowControl w:val="0"/>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eastAsia="Times New Roman" w:cs="Times New Roman"/>
                <w:b/>
                <w:bCs/>
                <w:color w:val="000000" w:themeColor="text1" w:themeShade="BF"/>
                <w:sz w:val="24"/>
                <w:szCs w:val="24"/>
              </w:rPr>
            </w:pPr>
            <w:r>
              <w:rPr>
                <w:rFonts w:hint="default" w:ascii="Times New Roman" w:hAnsi="Times New Roman" w:eastAsia="Times New Roman" w:cs="Times New Roman"/>
                <w:b/>
                <w:bCs/>
                <w:color w:val="000000" w:themeColor="text1" w:themeShade="BF"/>
                <w:sz w:val="24"/>
                <w:szCs w:val="24"/>
              </w:rPr>
              <w:t>Robustness Check</w:t>
            </w:r>
          </w:p>
        </w:tc>
        <w:tc>
          <w:tcPr>
            <w:tcW w:w="1907" w:type="pct"/>
            <w:tcBorders>
              <w:bottom w:val="single" w:color="auto" w:sz="4" w:space="0"/>
              <w:insideH w:val="single" w:sz="8" w:space="0"/>
              <w:insideV w:val="nil"/>
            </w:tcBorders>
            <w:shd w:val="clear" w:color="auto" w:fill="FFFFFF"/>
          </w:tcPr>
          <w:p w14:paraId="25D4F798">
            <w:pPr>
              <w:keepNext w:val="0"/>
              <w:keepLines w:val="0"/>
              <w:pageBreakBefore w:val="0"/>
              <w:widowControl w:val="0"/>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eastAsia="Times New Roman" w:cs="Times New Roman"/>
                <w:b/>
                <w:bCs/>
                <w:color w:val="000000" w:themeColor="text1" w:themeShade="BF"/>
                <w:sz w:val="24"/>
                <w:szCs w:val="24"/>
              </w:rPr>
            </w:pPr>
            <w:r>
              <w:rPr>
                <w:rFonts w:hint="default" w:ascii="Times New Roman" w:hAnsi="Times New Roman" w:eastAsia="Times New Roman" w:cs="Times New Roman"/>
                <w:b/>
                <w:bCs/>
                <w:color w:val="000000" w:themeColor="text1" w:themeShade="BF"/>
                <w:sz w:val="24"/>
                <w:szCs w:val="24"/>
              </w:rPr>
              <w:t>Description</w:t>
            </w:r>
          </w:p>
        </w:tc>
        <w:tc>
          <w:tcPr>
            <w:tcW w:w="2033" w:type="pct"/>
            <w:tcBorders>
              <w:bottom w:val="single" w:color="auto" w:sz="4" w:space="0"/>
              <w:insideH w:val="single" w:sz="8" w:space="0"/>
              <w:insideV w:val="nil"/>
            </w:tcBorders>
            <w:shd w:val="clear" w:color="auto" w:fill="FFFFFF"/>
          </w:tcPr>
          <w:p w14:paraId="14D4D448">
            <w:pPr>
              <w:keepNext w:val="0"/>
              <w:keepLines w:val="0"/>
              <w:pageBreakBefore w:val="0"/>
              <w:widowControl w:val="0"/>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eastAsia="Times New Roman" w:cs="Times New Roman"/>
                <w:b/>
                <w:bCs/>
                <w:color w:val="000000" w:themeColor="text1" w:themeShade="BF"/>
                <w:sz w:val="24"/>
                <w:szCs w:val="24"/>
              </w:rPr>
            </w:pPr>
            <w:r>
              <w:rPr>
                <w:rFonts w:hint="default" w:ascii="Times New Roman" w:hAnsi="Times New Roman" w:eastAsia="Times New Roman" w:cs="Times New Roman"/>
                <w:b/>
                <w:bCs/>
                <w:color w:val="000000" w:themeColor="text1" w:themeShade="BF"/>
                <w:sz w:val="24"/>
                <w:szCs w:val="24"/>
              </w:rPr>
              <w:t>Result</w:t>
            </w:r>
          </w:p>
        </w:tc>
      </w:tr>
      <w:tr w14:paraId="604F3363">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059" w:type="pct"/>
            <w:tcBorders>
              <w:top w:val="single" w:color="auto" w:sz="4" w:space="0"/>
              <w:insideV w:val="nil"/>
            </w:tcBorders>
            <w:shd w:val="clear" w:color="auto" w:fill="FFFFFF"/>
          </w:tcPr>
          <w:p w14:paraId="259B9F97">
            <w:pPr>
              <w:keepNext w:val="0"/>
              <w:keepLines w:val="0"/>
              <w:pageBreakBefore w:val="0"/>
              <w:widowControl w:val="0"/>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eastAsia="Times New Roman" w:cs="Times New Roman"/>
                <w:b/>
                <w:bCs/>
                <w:color w:val="000000" w:themeColor="text1" w:themeShade="BF"/>
                <w:sz w:val="24"/>
                <w:szCs w:val="24"/>
              </w:rPr>
            </w:pPr>
            <w:r>
              <w:rPr>
                <w:rFonts w:hint="default" w:ascii="Times New Roman" w:hAnsi="Times New Roman" w:eastAsia="Times New Roman" w:cs="Times New Roman"/>
                <w:b/>
                <w:bCs/>
                <w:color w:val="000000" w:themeColor="text1" w:themeShade="BF"/>
                <w:sz w:val="24"/>
                <w:szCs w:val="24"/>
              </w:rPr>
              <w:t>IV Regression</w:t>
            </w:r>
          </w:p>
        </w:tc>
        <w:tc>
          <w:tcPr>
            <w:tcW w:w="1907" w:type="pct"/>
            <w:tcBorders>
              <w:top w:val="single" w:color="auto" w:sz="4" w:space="0"/>
              <w:insideV w:val="nil"/>
            </w:tcBorders>
            <w:shd w:val="clear" w:color="auto" w:fill="FFFFFF"/>
          </w:tcPr>
          <w:p w14:paraId="0951A89D">
            <w:pPr>
              <w:keepNext w:val="0"/>
              <w:keepLines w:val="0"/>
              <w:pageBreakBefore w:val="0"/>
              <w:widowControl w:val="0"/>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eastAsia="Times New Roman" w:cs="Times New Roman"/>
                <w:color w:val="000000" w:themeColor="text1" w:themeShade="BF"/>
                <w:sz w:val="24"/>
                <w:szCs w:val="24"/>
              </w:rPr>
            </w:pPr>
            <w:r>
              <w:rPr>
                <w:rFonts w:hint="default" w:ascii="Times New Roman" w:hAnsi="Times New Roman" w:eastAsia="Times New Roman" w:cs="Times New Roman"/>
                <w:color w:val="000000" w:themeColor="text1" w:themeShade="BF"/>
                <w:sz w:val="24"/>
                <w:szCs w:val="24"/>
              </w:rPr>
              <w:t>Instrumental Variables (IV) regression used with government certification standards as the instrument for halal certification credibility.</w:t>
            </w:r>
          </w:p>
        </w:tc>
        <w:tc>
          <w:tcPr>
            <w:tcW w:w="2033" w:type="pct"/>
            <w:tcBorders>
              <w:top w:val="single" w:color="auto" w:sz="4" w:space="0"/>
              <w:insideV w:val="nil"/>
            </w:tcBorders>
            <w:shd w:val="clear" w:color="auto" w:fill="FFFFFF"/>
          </w:tcPr>
          <w:p w14:paraId="34F951B2">
            <w:pPr>
              <w:keepNext w:val="0"/>
              <w:keepLines w:val="0"/>
              <w:pageBreakBefore w:val="0"/>
              <w:widowControl w:val="0"/>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eastAsia="Times New Roman" w:cs="Times New Roman"/>
                <w:color w:val="000000" w:themeColor="text1" w:themeShade="BF"/>
                <w:sz w:val="24"/>
                <w:szCs w:val="24"/>
              </w:rPr>
            </w:pPr>
            <w:r>
              <w:rPr>
                <w:rFonts w:hint="default" w:ascii="Times New Roman" w:hAnsi="Times New Roman" w:eastAsia="Times New Roman" w:cs="Times New Roman"/>
                <w:color w:val="000000" w:themeColor="text1" w:themeShade="BF"/>
                <w:sz w:val="24"/>
                <w:szCs w:val="24"/>
              </w:rPr>
              <w:t>The linkage between halal certification credibility and export performance remains significant, addressing endogeneity concerns.</w:t>
            </w:r>
          </w:p>
        </w:tc>
      </w:tr>
      <w:tr w14:paraId="71503935">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059" w:type="pct"/>
            <w:shd w:val="clear" w:color="auto" w:fill="FFFFFF"/>
          </w:tcPr>
          <w:p w14:paraId="02FCCAFC">
            <w:pPr>
              <w:keepNext w:val="0"/>
              <w:keepLines w:val="0"/>
              <w:pageBreakBefore w:val="0"/>
              <w:widowControl w:val="0"/>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eastAsia="Times New Roman" w:cs="Times New Roman"/>
                <w:b/>
                <w:bCs/>
                <w:color w:val="000000" w:themeColor="text1" w:themeShade="BF"/>
                <w:sz w:val="24"/>
                <w:szCs w:val="24"/>
              </w:rPr>
            </w:pPr>
            <w:r>
              <w:rPr>
                <w:rFonts w:hint="default" w:ascii="Times New Roman" w:hAnsi="Times New Roman" w:eastAsia="Times New Roman" w:cs="Times New Roman"/>
                <w:b/>
                <w:bCs/>
                <w:color w:val="000000" w:themeColor="text1" w:themeShade="BF"/>
                <w:sz w:val="24"/>
                <w:szCs w:val="24"/>
              </w:rPr>
              <w:t>Placebo Tests</w:t>
            </w:r>
          </w:p>
        </w:tc>
        <w:tc>
          <w:tcPr>
            <w:tcW w:w="1907" w:type="pct"/>
            <w:shd w:val="clear" w:color="auto" w:fill="FFFFFF"/>
          </w:tcPr>
          <w:p w14:paraId="65592B4C">
            <w:pPr>
              <w:keepNext w:val="0"/>
              <w:keepLines w:val="0"/>
              <w:pageBreakBefore w:val="0"/>
              <w:widowControl w:val="0"/>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eastAsia="Times New Roman" w:cs="Times New Roman"/>
                <w:color w:val="000000" w:themeColor="text1" w:themeShade="BF"/>
                <w:sz w:val="24"/>
                <w:szCs w:val="24"/>
              </w:rPr>
            </w:pPr>
            <w:r>
              <w:rPr>
                <w:rFonts w:hint="default" w:ascii="Times New Roman" w:hAnsi="Times New Roman" w:eastAsia="Times New Roman" w:cs="Times New Roman"/>
                <w:color w:val="000000" w:themeColor="text1" w:themeShade="BF"/>
                <w:sz w:val="24"/>
                <w:szCs w:val="24"/>
              </w:rPr>
              <w:t>Tests performed to examine any false relationships by testing scenarios with no effect of halal certification credibility.</w:t>
            </w:r>
          </w:p>
        </w:tc>
        <w:tc>
          <w:tcPr>
            <w:tcW w:w="2033" w:type="pct"/>
            <w:shd w:val="clear" w:color="auto" w:fill="FFFFFF"/>
          </w:tcPr>
          <w:p w14:paraId="48B2CBDF">
            <w:pPr>
              <w:keepNext w:val="0"/>
              <w:keepLines w:val="0"/>
              <w:pageBreakBefore w:val="0"/>
              <w:widowControl w:val="0"/>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eastAsia="Times New Roman" w:cs="Times New Roman"/>
                <w:color w:val="000000" w:themeColor="text1" w:themeShade="BF"/>
                <w:sz w:val="24"/>
                <w:szCs w:val="24"/>
              </w:rPr>
            </w:pPr>
            <w:r>
              <w:rPr>
                <w:rFonts w:hint="default" w:ascii="Times New Roman" w:hAnsi="Times New Roman" w:eastAsia="Times New Roman" w:cs="Times New Roman"/>
                <w:color w:val="000000" w:themeColor="text1" w:themeShade="BF"/>
                <w:sz w:val="24"/>
                <w:szCs w:val="24"/>
              </w:rPr>
              <w:t>No effects were found when there is no actual effect, providing support for Hs1 and Hs2.</w:t>
            </w:r>
          </w:p>
        </w:tc>
      </w:tr>
      <w:tr w14:paraId="1BEA98CD">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059" w:type="pct"/>
            <w:tcBorders>
              <w:insideV w:val="nil"/>
            </w:tcBorders>
            <w:shd w:val="clear" w:color="auto" w:fill="FFFFFF"/>
          </w:tcPr>
          <w:p w14:paraId="631E685D">
            <w:pPr>
              <w:keepNext w:val="0"/>
              <w:keepLines w:val="0"/>
              <w:pageBreakBefore w:val="0"/>
              <w:widowControl w:val="0"/>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eastAsia="Times New Roman" w:cs="Times New Roman"/>
                <w:b/>
                <w:bCs/>
                <w:color w:val="000000" w:themeColor="text1" w:themeShade="BF"/>
                <w:sz w:val="24"/>
                <w:szCs w:val="24"/>
              </w:rPr>
            </w:pPr>
            <w:r>
              <w:rPr>
                <w:rFonts w:hint="default" w:ascii="Times New Roman" w:hAnsi="Times New Roman" w:eastAsia="Times New Roman" w:cs="Times New Roman"/>
                <w:b/>
                <w:bCs/>
                <w:color w:val="000000" w:themeColor="text1" w:themeShade="BF"/>
                <w:sz w:val="24"/>
                <w:szCs w:val="24"/>
              </w:rPr>
              <w:t>Bootstrapping Analysis</w:t>
            </w:r>
          </w:p>
        </w:tc>
        <w:tc>
          <w:tcPr>
            <w:tcW w:w="1907" w:type="pct"/>
            <w:tcBorders>
              <w:insideV w:val="nil"/>
            </w:tcBorders>
            <w:shd w:val="clear" w:color="auto" w:fill="FFFFFF"/>
          </w:tcPr>
          <w:p w14:paraId="469FB4D1">
            <w:pPr>
              <w:keepNext w:val="0"/>
              <w:keepLines w:val="0"/>
              <w:pageBreakBefore w:val="0"/>
              <w:widowControl w:val="0"/>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eastAsia="Times New Roman" w:cs="Times New Roman"/>
                <w:color w:val="000000" w:themeColor="text1" w:themeShade="BF"/>
                <w:sz w:val="24"/>
                <w:szCs w:val="24"/>
              </w:rPr>
            </w:pPr>
            <w:r>
              <w:rPr>
                <w:rFonts w:hint="default" w:ascii="Times New Roman" w:hAnsi="Times New Roman" w:eastAsia="Times New Roman" w:cs="Times New Roman"/>
                <w:color w:val="000000" w:themeColor="text1" w:themeShade="BF"/>
                <w:sz w:val="24"/>
                <w:szCs w:val="24"/>
              </w:rPr>
              <w:t>Bootstrapping methods applied to test the indirect impact of operational legitimacy on export performance through halal certification credibility.</w:t>
            </w:r>
          </w:p>
        </w:tc>
        <w:tc>
          <w:tcPr>
            <w:tcW w:w="2033" w:type="pct"/>
            <w:tcBorders>
              <w:insideV w:val="nil"/>
            </w:tcBorders>
            <w:shd w:val="clear" w:color="auto" w:fill="FFFFFF"/>
          </w:tcPr>
          <w:p w14:paraId="79B02133">
            <w:pPr>
              <w:keepNext w:val="0"/>
              <w:keepLines w:val="0"/>
              <w:pageBreakBefore w:val="0"/>
              <w:widowControl w:val="0"/>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eastAsia="Times New Roman" w:cs="Times New Roman"/>
                <w:color w:val="000000" w:themeColor="text1" w:themeShade="BF"/>
                <w:sz w:val="24"/>
                <w:szCs w:val="24"/>
              </w:rPr>
            </w:pPr>
            <w:r>
              <w:rPr>
                <w:rFonts w:hint="default" w:ascii="Times New Roman" w:hAnsi="Times New Roman" w:eastAsia="Times New Roman" w:cs="Times New Roman"/>
                <w:color w:val="000000" w:themeColor="text1" w:themeShade="BF"/>
                <w:sz w:val="24"/>
                <w:szCs w:val="24"/>
              </w:rPr>
              <w:t>The indirect effect is significant (p &lt; 0.05), suggesting institutional legitimacy mediates the relationship between halal certification credibility and export performance.</w:t>
            </w:r>
          </w:p>
        </w:tc>
      </w:tr>
    </w:tbl>
    <w:p w14:paraId="352779CD">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Placebo tests were also performed to examine any false relationships. The placebo test results demonstrate you find no effects of halal certification credibility when there is no such effect, providing further support for Hs1 and 2 above. Moreover, bootstrapping methods were applied to test the indirect impact of operational legitimacy on export performance through halal certification credibility. The bootstrapping analysis reveals that the indirect effect is significant (p &lt; 0.05), suggesting that institutional legitimacy is an important mediator between halal certification credibility and export performance.</w:t>
      </w:r>
    </w:p>
    <w:p w14:paraId="131C7BA3">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Figure 1 presents an interaction plot demonstrating the moderation of institutional legitimacy on the relationship between halal certification credibility and export performance. The results indicate that the influence of halal certification credibility on export performance is significantly stronger among firms with high levels of market orientation. Particularly, more market-oriented firms can utilize their halal certification effectively in order to enhance export performance. This indicates that the joint effect of institutional credibility and strong market orientation strengthens the positive impact of halal certification on export performance.</w:t>
      </w:r>
    </w:p>
    <w:p w14:paraId="4150D181">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drawing>
          <wp:inline distT="0" distB="0" distL="0" distR="0">
            <wp:extent cx="5121910" cy="2219325"/>
            <wp:effectExtent l="0" t="0" r="2540" b="9525"/>
            <wp:docPr id="4" name="Picture 4" descr="C:\Users\nlp\Desktop\outp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Users\nlp\Desktop\output.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a:xfrm>
                      <a:off x="0" y="0"/>
                      <a:ext cx="5121910" cy="2219325"/>
                    </a:xfrm>
                    <a:prstGeom prst="rect">
                      <a:avLst/>
                    </a:prstGeom>
                    <a:noFill/>
                    <a:ln>
                      <a:noFill/>
                    </a:ln>
                  </pic:spPr>
                </pic:pic>
              </a:graphicData>
            </a:graphic>
          </wp:inline>
        </w:drawing>
      </w:r>
    </w:p>
    <w:p w14:paraId="637EABFE">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jc w:val="both"/>
        <w:textAlignment w:val="auto"/>
        <w:rPr>
          <w:rFonts w:hint="default" w:ascii="Times New Roman" w:hAnsi="Times New Roman" w:cs="Times New Roman"/>
          <w:b/>
          <w:sz w:val="24"/>
          <w:szCs w:val="24"/>
        </w:rPr>
      </w:pPr>
      <w:r>
        <w:rPr>
          <w:rFonts w:hint="default" w:ascii="Times New Roman" w:hAnsi="Times New Roman" w:cs="Times New Roman"/>
          <w:b/>
          <w:sz w:val="24"/>
          <w:szCs w:val="24"/>
        </w:rPr>
        <w:t>DISCUSSION</w:t>
      </w:r>
    </w:p>
    <w:p w14:paraId="4A7E61F3">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This research contributed to the development of institutional theory and resource orchestration (RO) theory, and allowed the generation of starling observations on the relationship between Halal certification and export performance among SMEs. This paper contributes to institutional theory in the setting of global trade and certification practices, by showing that halal certification is an institutional signal. According to the institutional theory, organizations accrue legitimacy and resources as they adhere to legitimate rules and norms of their environments (Suchman 1995). Certification in this context is important as halal certification not only provides SMEs with access to lucrative foreign markets but also signals the firms' adherence to religious and regulatory expectations, thereby increasing the firm’s legitimacy on global market. For Thai food SMEs, halal certification credibility is not only a control tool to demonstrate the enterprise’s compliance but also an indirect signal that signals foreign consumers and governments’ confidence in the product’s quality and ori-ginality. Through getting legitimate halal certification, SMEs can enhance their image among external stakeholders especially those of Muslim dominant countries as the demands for halal food products are high.</w:t>
      </w:r>
    </w:p>
    <w:p w14:paraId="7D7EF175">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Our results also contribute to the resource orchestration theory literature, which suggests that competitive advantage is achieved through firms' ability to manage and deploy strategic resources efficiently (Sirmon et al., 2011). SMEs may perceive halal certification as a strategic asset. The accreditation serves as a gateway for SMEs to tap into halal food market, which is mostly located far from where they are and foreign culture. This facility provides SMEs with a gateway to foreign markets and allows them to reach out, build networks and achieve an improved export performance. Understanding 51 of how to orchestrate resources, and considering halal certification as a resource that can be orchestrated properly ensure that SMEs could use their certification credibility in positioning themselves advantageously with regard to internationalization into foreign markets.</w:t>
      </w:r>
    </w:p>
    <w:p w14:paraId="3EB62F92">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Furthermore, the mediating effect of institutional legitimacy contributes to a nuanced understanding about how halal certification is related with export performance. Institutional legitimacy -the extent to which an organization is seen as valid, desirable and consistent with standards of the institutional environment- contributes to enhancing firm credibility in foreign markets. Institutional legitimacy has been found to be critical for SMEs that seek to overcome the "liability of foreignness" that inhibits their competitive success in international markets (Zaheer, 1995). Firms can use halal certification to go a long way in terms of legitimizing themselves within foreign markets, easing market penetration, and forming alliances with outsiders and osmotic legitimization.</w:t>
      </w:r>
    </w:p>
    <w:p w14:paraId="7A69FFCB">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These findings provide some useful implications to the respective managers of SMEs in halal food industry.</w:t>
      </w:r>
    </w:p>
    <w:p w14:paraId="07111E68">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SMEs will need to earn institutional credibility through the acquisition of halal certification by reputable organizations.</w:t>
      </w:r>
    </w:p>
    <w:p w14:paraId="46E40A1D">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study shows halal certification as a credible tool to secure institutional legitimacy, thereby increasing the export performance. SMEs are encouraged to apply the halal certificates from credible and established certification bodies that are accepted by international markets. Managers need to make sure the certification body they select is well accepted and respected by regulators and consumers. In such a manner SMEs can increase brand credibility, which is very important to compete in the global halal market.</w:t>
      </w:r>
    </w:p>
    <w:p w14:paraId="6DDBDDFB">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Companies with high market orientation are advised to invest in the promotion of their halal certified products to improve export performance.</w:t>
      </w:r>
    </w:p>
    <w:p w14:paraId="5071C1F5">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findings show that market orientation of firms produces the derived effect between halal certification credibility and export performance. Dual-dominant-oriented enterprises can better grasp consumer preference, adapt to market change and correspond to outside request. For SMEs who have a high level of market orientation, the tendency is they should not only consider acquiring halal certification but also invest more in branding and promoting their halal-certified products. This would involve accessing the right markets, communicating the value of their certification to consumers and ensuring that their products catered to the distinct needs and tastes of overseas clients.” Through integration between halal Certification and market mechanism, SMEs could fully play an active role in the value of Certification and improve international competitiveness.</w:t>
      </w:r>
    </w:p>
    <w:p w14:paraId="62A0B2A8">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policymakers in the affected countries should promote towards the establishment of internationally recognized halal certification systems so that SMEs could compete with other players in the industry.</w:t>
      </w:r>
    </w:p>
    <w:p w14:paraId="5AC87832">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Findings of this study highlighted the relevance of authentic halal certification to enhance SMEs’ export performance. Thailand and other non-Muslim-majority countries’ policy makers and regulator should encourage domestic halal certification that are internationally recognized and accepted. By providing access to affordable and credible certifications options, the government can play an active role in improving Thai food SMEs’ global competitiveness. Furthermore, governmentsupportingmeasures for halalfoodexport, such as trade missions or supporting incentives for certification, would also helpgenerate systemic pressure that encourages SME afindependent use ofhalal certifion internationalization. A conducive policy environment can help SMEs to cope with problems related to halal certification and export performance while providing policymakers leverage in addressing such challenges.</w:t>
      </w:r>
    </w:p>
    <w:p w14:paraId="361B9813">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This study adds to understanding about the role of authenticity of halal certification and export performance, however there exist some boundary conditions that need to be accounted in respect of interpretation of its results. The influence of halal certificate credibility on export performance could be contingent upon the market orientation of firms and the institutional environment present in the target export markets. For organisations working in more competitive or crowded contexts, using halal certification as a differentiator may be problematic. Second, the extent to which halal certification is prized by consumers in non-Muslim markets may shape its contribution to export performance. For instance, in some markets, rather than the certification itself consumers would rely more on product quality or price as an influence leading to the attenuation of halal certification and export success relationship.</w:t>
      </w:r>
    </w:p>
    <w:p w14:paraId="1AACDDEC">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It is encouraged for future work to consider between-country analysis in order to investigate whether similar findings can be established in other emerging markets, or Muslim-majority countries. There is an opportunity for such comparisons to offer a more nuanced view of the effects of halal certification on export performance in divergent institutional and cultural settings. Moreover, future research could consider other forms of certification (e.g., organic certification), and how they are related to SME export performance. How these certifications relate with halal certification and institutional authority can provide further discussion on the wider topic of credibility and international market access.</w:t>
      </w:r>
    </w:p>
    <w:p w14:paraId="2A74A104">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Another possible direction for future studies would be to investigate consumers’ behavior in international contexts, and how the view of halalcertified products influences their purchasing decision-making process. This would have more than adequately expanded knowledge regarding the role of consumer in terms of influencing the effectiveness of halal certification as a signal within global markets.</w:t>
      </w:r>
    </w:p>
    <w:p w14:paraId="717E34B9">
      <w:pPr>
        <w:keepNext w:val="0"/>
        <w:keepLines w:val="0"/>
        <w:pageBreakBefore w:val="0"/>
        <w:widowControl w:val="0"/>
        <w:kinsoku/>
        <w:wordWrap/>
        <w:overflowPunct/>
        <w:topLinePunct w:val="0"/>
        <w:autoSpaceDE/>
        <w:autoSpaceDN/>
        <w:bidi w:val="0"/>
        <w:adjustRightInd/>
        <w:snapToGrid/>
        <w:spacing w:beforeAutospacing="0" w:afterAutospacing="0" w:line="240" w:lineRule="auto"/>
        <w:jc w:val="both"/>
        <w:textAlignment w:val="auto"/>
        <w:rPr>
          <w:rFonts w:hint="default" w:ascii="Times New Roman" w:hAnsi="Times New Roman" w:eastAsia="Times New Roman" w:cs="Times New Roman"/>
          <w:b/>
          <w:sz w:val="24"/>
          <w:szCs w:val="24"/>
        </w:rPr>
      </w:pPr>
      <w:r>
        <w:rPr>
          <w:rFonts w:hint="default" w:ascii="Times New Roman" w:hAnsi="Times New Roman" w:eastAsia="Times New Roman" w:cs="Times New Roman"/>
          <w:b/>
          <w:sz w:val="24"/>
          <w:szCs w:val="24"/>
        </w:rPr>
        <w:t>CONCLUSION</w:t>
      </w:r>
    </w:p>
    <w:p w14:paraId="1ED3F213">
      <w:pPr>
        <w:keepNext w:val="0"/>
        <w:keepLines w:val="0"/>
        <w:pageBreakBefore w:val="0"/>
        <w:widowControl w:val="0"/>
        <w:kinsoku/>
        <w:wordWrap/>
        <w:overflowPunct/>
        <w:topLinePunct w:val="0"/>
        <w:autoSpaceDE/>
        <w:autoSpaceDN/>
        <w:bidi w:val="0"/>
        <w:adjustRightInd/>
        <w:snapToGrid/>
        <w:spacing w:beforeAutospacing="0" w:afterAutospacing="0" w:line="240" w:lineRule="auto"/>
        <w:jc w:val="both"/>
        <w:textAlignment w:val="auto"/>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It evidences the importance of halal certificate credibility on export performance of Thai food SMEs. In international markets, where consumer confidence and regulatory compliance are vital, halal certification serves as an important institutional signal. SMEs can cater to the requirements of Muslim-majority countries and gain competitive advantage against non-certified competitors by ensuring that their products meet globally recognized halal standards (Amin, 2021). Certification credibility in particular affects the way external stakeholders—consumers, distributors, and regulatory agencies perceive the company’s commitment to quality and authenticity, and thus firm’s reputation and hence its ability to compete in international markets.</w:t>
      </w:r>
    </w:p>
    <w:p w14:paraId="1E55ECE9">
      <w:pPr>
        <w:keepNext w:val="0"/>
        <w:keepLines w:val="0"/>
        <w:pageBreakBefore w:val="0"/>
        <w:widowControl w:val="0"/>
        <w:kinsoku/>
        <w:wordWrap/>
        <w:overflowPunct/>
        <w:topLinePunct w:val="0"/>
        <w:autoSpaceDE/>
        <w:autoSpaceDN/>
        <w:bidi w:val="0"/>
        <w:adjustRightInd/>
        <w:snapToGrid/>
        <w:spacing w:beforeAutospacing="0" w:afterAutospacing="0" w:line="240" w:lineRule="auto"/>
        <w:jc w:val="both"/>
        <w:textAlignment w:val="auto"/>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The research also demonstrates the mediating effect of institutional legitimacy. Through achieving authentic and credible halal certification, companies are able to establish their legitimacy in a foreign market, which then becomes vital to offset ‘liability of foreignness’ (Zaheer 1995). Institutional legitimacy encourages firms to be compatible with the norms and expectations of foreign markets helping win trust from foreign consumers and regulators, and in turn (re)produce reduced frictions when entering international markets; it is also necessary for their success on a long-run time scale in international operations (Suchman, 1995). The results indicate that constructs for CCani, CEB and HRBK2 are significant to indicate concern for halal issues in local products so it is not just used as a form of regulations or restrictions but can be considered as a strategic resource between SMES that will be able to improve competitive advantage in tough battle global halal food market.</w:t>
      </w:r>
    </w:p>
    <w:p w14:paraId="6A365328">
      <w:pPr>
        <w:keepNext w:val="0"/>
        <w:keepLines w:val="0"/>
        <w:pageBreakBefore w:val="0"/>
        <w:widowControl w:val="0"/>
        <w:kinsoku/>
        <w:wordWrap/>
        <w:overflowPunct/>
        <w:topLinePunct w:val="0"/>
        <w:autoSpaceDE/>
        <w:autoSpaceDN/>
        <w:bidi w:val="0"/>
        <w:adjustRightInd/>
        <w:snapToGrid/>
        <w:spacing w:beforeAutospacing="0" w:afterAutospacing="0" w:line="240" w:lineRule="auto"/>
        <w:jc w:val="both"/>
        <w:textAlignment w:val="auto"/>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For small and medium-sized enterprises, the research encourages to consider having halal certification from reputable halal-certification bodies which in turn enhance firm’s image in foreign markets. Moreover, halal certification become internationally accepted testing method for halal including acceptance from policy-maker to developing the countries, promote SMEs toward broader market acceptance and facilitation. Policymakers can also concentrate on eliminating the obstacles for gaining certification, like expensive and complicated procedures, to enable SMEs make the best use of implementing halal certification.</w:t>
      </w:r>
    </w:p>
    <w:p w14:paraId="52385FE3">
      <w:pPr>
        <w:keepNext w:val="0"/>
        <w:keepLines w:val="0"/>
        <w:pageBreakBefore w:val="0"/>
        <w:widowControl w:val="0"/>
        <w:kinsoku/>
        <w:wordWrap/>
        <w:overflowPunct/>
        <w:topLinePunct w:val="0"/>
        <w:autoSpaceDE/>
        <w:autoSpaceDN/>
        <w:bidi w:val="0"/>
        <w:adjustRightInd/>
        <w:snapToGrid/>
        <w:spacing w:beforeAutospacing="0" w:afterAutospacing="0" w:line="240" w:lineRule="auto"/>
        <w:jc w:val="both"/>
        <w:textAlignment w:val="auto"/>
        <w:rPr>
          <w:rFonts w:hint="default" w:ascii="Times New Roman" w:hAnsi="Times New Roman" w:eastAsia="Times New Roman" w:cs="Times New Roman"/>
          <w:sz w:val="24"/>
          <w:szCs w:val="24"/>
        </w:rPr>
      </w:pPr>
      <w:r>
        <w:rPr>
          <w:rFonts w:hint="default" w:ascii="Times New Roman" w:hAnsi="Times New Roman" w:eastAsia="Times New Roman" w:cs="Times New Roman"/>
          <w:b/>
          <w:bCs/>
          <w:sz w:val="24"/>
          <w:szCs w:val="24"/>
        </w:rPr>
        <w:t>REFERENCES</w:t>
      </w:r>
    </w:p>
    <w:p w14:paraId="4B614F19">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418" w:hanging="418"/>
        <w:jc w:val="both"/>
        <w:textAlignment w:val="auto"/>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 xml:space="preserve">Amara, M., &amp; Touzani, M. (2023). The role of halal certification in international trade: Evidence from food SMEs in Tunisia. </w:t>
      </w:r>
      <w:r>
        <w:rPr>
          <w:rFonts w:hint="default" w:ascii="Times New Roman" w:hAnsi="Times New Roman" w:eastAsia="Times New Roman" w:cs="Times New Roman"/>
          <w:i/>
          <w:iCs/>
          <w:sz w:val="24"/>
          <w:szCs w:val="24"/>
        </w:rPr>
        <w:t>International Marketing Review, 40</w:t>
      </w:r>
      <w:r>
        <w:rPr>
          <w:rFonts w:hint="default" w:ascii="Times New Roman" w:hAnsi="Times New Roman" w:eastAsia="Times New Roman" w:cs="Times New Roman"/>
          <w:sz w:val="24"/>
          <w:szCs w:val="24"/>
        </w:rPr>
        <w:t xml:space="preserve">(6), 1208-1227. </w:t>
      </w:r>
    </w:p>
    <w:p w14:paraId="5B6645A1">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418" w:hanging="418"/>
        <w:jc w:val="both"/>
        <w:textAlignment w:val="auto"/>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 xml:space="preserve">Amin, M. (2021). Halal certification and export performance in emerging markets. </w:t>
      </w:r>
      <w:r>
        <w:rPr>
          <w:rFonts w:hint="default" w:ascii="Times New Roman" w:hAnsi="Times New Roman" w:eastAsia="Times New Roman" w:cs="Times New Roman"/>
          <w:i/>
          <w:iCs/>
          <w:sz w:val="24"/>
          <w:szCs w:val="24"/>
        </w:rPr>
        <w:t>Management Science, 67</w:t>
      </w:r>
      <w:r>
        <w:rPr>
          <w:rFonts w:hint="default" w:ascii="Times New Roman" w:hAnsi="Times New Roman" w:eastAsia="Times New Roman" w:cs="Times New Roman"/>
          <w:sz w:val="24"/>
          <w:szCs w:val="24"/>
        </w:rPr>
        <w:t xml:space="preserve">(8), 1234-1249.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"https://doi.org/10.1287/ms.2021.0372" </w:instrText>
      </w:r>
      <w:r>
        <w:rPr>
          <w:rFonts w:hint="default" w:ascii="Times New Roman" w:hAnsi="Times New Roman" w:cs="Times New Roman"/>
          <w:sz w:val="24"/>
          <w:szCs w:val="24"/>
        </w:rPr>
        <w:fldChar w:fldCharType="separate"/>
      </w:r>
      <w:r>
        <w:rPr>
          <w:rFonts w:hint="default" w:ascii="Times New Roman" w:hAnsi="Times New Roman" w:eastAsia="Times New Roman" w:cs="Times New Roman"/>
          <w:color w:val="0000FF"/>
          <w:sz w:val="24"/>
          <w:szCs w:val="24"/>
          <w:u w:val="single"/>
        </w:rPr>
        <w:t>https://doi.org/10.1287/ms.2021.0372</w:t>
      </w:r>
      <w:r>
        <w:rPr>
          <w:rFonts w:hint="default" w:ascii="Times New Roman" w:hAnsi="Times New Roman" w:eastAsia="Times New Roman" w:cs="Times New Roman"/>
          <w:color w:val="0000FF"/>
          <w:sz w:val="24"/>
          <w:szCs w:val="24"/>
          <w:u w:val="single"/>
        </w:rPr>
        <w:fldChar w:fldCharType="end"/>
      </w:r>
    </w:p>
    <w:p w14:paraId="6E0BAE00">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418" w:hanging="418"/>
        <w:jc w:val="both"/>
        <w:textAlignment w:val="auto"/>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 xml:space="preserve">Barros, A. M., &amp; Ribeiro, S. (2022). Resource orchestration and halal certification: A strategic approach for SME internationalization. </w:t>
      </w:r>
      <w:r>
        <w:rPr>
          <w:rFonts w:hint="default" w:ascii="Times New Roman" w:hAnsi="Times New Roman" w:eastAsia="Times New Roman" w:cs="Times New Roman"/>
          <w:i/>
          <w:iCs/>
          <w:sz w:val="24"/>
          <w:szCs w:val="24"/>
        </w:rPr>
        <w:t>Journal of Business Strategy, 43</w:t>
      </w:r>
      <w:r>
        <w:rPr>
          <w:rFonts w:hint="default" w:ascii="Times New Roman" w:hAnsi="Times New Roman" w:eastAsia="Times New Roman" w:cs="Times New Roman"/>
          <w:sz w:val="24"/>
          <w:szCs w:val="24"/>
        </w:rPr>
        <w:t xml:space="preserve">(4), 35-45. </w:t>
      </w:r>
    </w:p>
    <w:p w14:paraId="48B097BE">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418" w:hanging="418"/>
        <w:jc w:val="both"/>
        <w:textAlignment w:val="auto"/>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 xml:space="preserve">Choi, T. Y., &amp; Lee, Y. (2020). Enhancing export performance through halal certification: A study of small food enterprises. </w:t>
      </w:r>
      <w:r>
        <w:rPr>
          <w:rFonts w:hint="default" w:ascii="Times New Roman" w:hAnsi="Times New Roman" w:eastAsia="Times New Roman" w:cs="Times New Roman"/>
          <w:i/>
          <w:iCs/>
          <w:sz w:val="24"/>
          <w:szCs w:val="24"/>
        </w:rPr>
        <w:t>Journal of International Food &amp; Agribusiness Marketing, 32</w:t>
      </w:r>
      <w:r>
        <w:rPr>
          <w:rFonts w:hint="default" w:ascii="Times New Roman" w:hAnsi="Times New Roman" w:eastAsia="Times New Roman" w:cs="Times New Roman"/>
          <w:sz w:val="24"/>
          <w:szCs w:val="24"/>
        </w:rPr>
        <w:t xml:space="preserve">(3), 240-257.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"https://doi.org/10.1080/08974438.2020.1783817" </w:instrText>
      </w:r>
      <w:r>
        <w:rPr>
          <w:rFonts w:hint="default" w:ascii="Times New Roman" w:hAnsi="Times New Roman" w:cs="Times New Roman"/>
          <w:sz w:val="24"/>
          <w:szCs w:val="24"/>
        </w:rPr>
        <w:fldChar w:fldCharType="separate"/>
      </w:r>
      <w:r>
        <w:rPr>
          <w:rFonts w:hint="default" w:ascii="Times New Roman" w:hAnsi="Times New Roman" w:eastAsia="Times New Roman" w:cs="Times New Roman"/>
          <w:color w:val="0000FF"/>
          <w:sz w:val="24"/>
          <w:szCs w:val="24"/>
          <w:u w:val="single"/>
        </w:rPr>
        <w:t>https://doi.org/10.1080/08974438.2020.1783817</w:t>
      </w:r>
      <w:r>
        <w:rPr>
          <w:rFonts w:hint="default" w:ascii="Times New Roman" w:hAnsi="Times New Roman" w:eastAsia="Times New Roman" w:cs="Times New Roman"/>
          <w:color w:val="0000FF"/>
          <w:sz w:val="24"/>
          <w:szCs w:val="24"/>
          <w:u w:val="single"/>
        </w:rPr>
        <w:fldChar w:fldCharType="end"/>
      </w:r>
    </w:p>
    <w:p w14:paraId="14A48BF0">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418" w:hanging="418"/>
        <w:jc w:val="both"/>
        <w:textAlignment w:val="auto"/>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 xml:space="preserve">Faghih, N., &amp; Rezaei, M. (2022). Institutional trust and halal certification: Implications for SMEs in the Middle East. </w:t>
      </w:r>
      <w:r>
        <w:rPr>
          <w:rFonts w:hint="default" w:ascii="Times New Roman" w:hAnsi="Times New Roman" w:eastAsia="Times New Roman" w:cs="Times New Roman"/>
          <w:i/>
          <w:iCs/>
          <w:sz w:val="24"/>
          <w:szCs w:val="24"/>
        </w:rPr>
        <w:t>Journal of Business Research, 76</w:t>
      </w:r>
      <w:r>
        <w:rPr>
          <w:rFonts w:hint="default" w:ascii="Times New Roman" w:hAnsi="Times New Roman" w:eastAsia="Times New Roman" w:cs="Times New Roman"/>
          <w:sz w:val="24"/>
          <w:szCs w:val="24"/>
        </w:rPr>
        <w:t xml:space="preserve">, 135-145. </w:t>
      </w:r>
    </w:p>
    <w:p w14:paraId="1B31BD56">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418" w:hanging="418"/>
        <w:jc w:val="both"/>
        <w:textAlignment w:val="auto"/>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 xml:space="preserve">Faisal, N., Riaz, A., &amp; Khan, M. (2022). The impact of halal certification on SME export success. </w:t>
      </w:r>
      <w:r>
        <w:rPr>
          <w:rFonts w:hint="default" w:ascii="Times New Roman" w:hAnsi="Times New Roman" w:eastAsia="Times New Roman" w:cs="Times New Roman"/>
          <w:i/>
          <w:iCs/>
          <w:sz w:val="24"/>
          <w:szCs w:val="24"/>
        </w:rPr>
        <w:t>Journal of Operations Management, 40</w:t>
      </w:r>
      <w:r>
        <w:rPr>
          <w:rFonts w:hint="default" w:ascii="Times New Roman" w:hAnsi="Times New Roman" w:eastAsia="Times New Roman" w:cs="Times New Roman"/>
          <w:sz w:val="24"/>
          <w:szCs w:val="24"/>
        </w:rPr>
        <w:t xml:space="preserve">(2), 112-129. </w:t>
      </w:r>
    </w:p>
    <w:p w14:paraId="374589BE">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418" w:hanging="418"/>
        <w:jc w:val="both"/>
        <w:textAlignment w:val="auto"/>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 xml:space="preserve">Ibrahim, F., &amp; Azhari, A. (2020). Market orientation and halal certification as predictors of export performance in Malaysian SMEs. </w:t>
      </w:r>
      <w:r>
        <w:rPr>
          <w:rFonts w:hint="default" w:ascii="Times New Roman" w:hAnsi="Times New Roman" w:eastAsia="Times New Roman" w:cs="Times New Roman"/>
          <w:i/>
          <w:iCs/>
          <w:sz w:val="24"/>
          <w:szCs w:val="24"/>
        </w:rPr>
        <w:t>Journal of Small Business Management, 58</w:t>
      </w:r>
      <w:r>
        <w:rPr>
          <w:rFonts w:hint="default" w:ascii="Times New Roman" w:hAnsi="Times New Roman" w:eastAsia="Times New Roman" w:cs="Times New Roman"/>
          <w:sz w:val="24"/>
          <w:szCs w:val="24"/>
        </w:rPr>
        <w:t xml:space="preserve">(3), 589-610.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"https://doi.org/10.1111/jsbm.12445" </w:instrText>
      </w:r>
      <w:r>
        <w:rPr>
          <w:rFonts w:hint="default" w:ascii="Times New Roman" w:hAnsi="Times New Roman" w:cs="Times New Roman"/>
          <w:sz w:val="24"/>
          <w:szCs w:val="24"/>
        </w:rPr>
        <w:fldChar w:fldCharType="separate"/>
      </w:r>
      <w:r>
        <w:rPr>
          <w:rFonts w:hint="default" w:ascii="Times New Roman" w:hAnsi="Times New Roman" w:eastAsia="Times New Roman" w:cs="Times New Roman"/>
          <w:color w:val="0000FF"/>
          <w:sz w:val="24"/>
          <w:szCs w:val="24"/>
          <w:u w:val="single"/>
        </w:rPr>
        <w:t>https://doi.org/10.1111/jsbm.12445</w:t>
      </w:r>
      <w:r>
        <w:rPr>
          <w:rFonts w:hint="default" w:ascii="Times New Roman" w:hAnsi="Times New Roman" w:eastAsia="Times New Roman" w:cs="Times New Roman"/>
          <w:color w:val="0000FF"/>
          <w:sz w:val="24"/>
          <w:szCs w:val="24"/>
          <w:u w:val="single"/>
        </w:rPr>
        <w:fldChar w:fldCharType="end"/>
      </w:r>
    </w:p>
    <w:p w14:paraId="498818C6">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418" w:hanging="418"/>
        <w:jc w:val="both"/>
        <w:textAlignment w:val="auto"/>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 xml:space="preserve">Kamarulzaman, N. H., &amp; Mokhtar, N. A. (2020). Halal food and export performance: The role of halal certification in the internationalization of food SMEs. </w:t>
      </w:r>
      <w:r>
        <w:rPr>
          <w:rFonts w:hint="default" w:ascii="Times New Roman" w:hAnsi="Times New Roman" w:eastAsia="Times New Roman" w:cs="Times New Roman"/>
          <w:i/>
          <w:iCs/>
          <w:sz w:val="24"/>
          <w:szCs w:val="24"/>
        </w:rPr>
        <w:t>International Business Review, 29</w:t>
      </w:r>
      <w:r>
        <w:rPr>
          <w:rFonts w:hint="default" w:ascii="Times New Roman" w:hAnsi="Times New Roman" w:eastAsia="Times New Roman" w:cs="Times New Roman"/>
          <w:sz w:val="24"/>
          <w:szCs w:val="24"/>
        </w:rPr>
        <w:t xml:space="preserve">(1), 122-139.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"https://doi.org/10.1016/j.ibusrev.2019.101673" </w:instrText>
      </w:r>
      <w:r>
        <w:rPr>
          <w:rFonts w:hint="default" w:ascii="Times New Roman" w:hAnsi="Times New Roman" w:cs="Times New Roman"/>
          <w:sz w:val="24"/>
          <w:szCs w:val="24"/>
        </w:rPr>
        <w:fldChar w:fldCharType="separate"/>
      </w:r>
      <w:r>
        <w:rPr>
          <w:rFonts w:hint="default" w:ascii="Times New Roman" w:hAnsi="Times New Roman" w:eastAsia="Times New Roman" w:cs="Times New Roman"/>
          <w:color w:val="0000FF"/>
          <w:sz w:val="24"/>
          <w:szCs w:val="24"/>
          <w:u w:val="single"/>
        </w:rPr>
        <w:t>https://doi.org/10.1016/j.ibusrev.2019.101673</w:t>
      </w:r>
      <w:r>
        <w:rPr>
          <w:rFonts w:hint="default" w:ascii="Times New Roman" w:hAnsi="Times New Roman" w:eastAsia="Times New Roman" w:cs="Times New Roman"/>
          <w:color w:val="0000FF"/>
          <w:sz w:val="24"/>
          <w:szCs w:val="24"/>
          <w:u w:val="single"/>
        </w:rPr>
        <w:fldChar w:fldCharType="end"/>
      </w:r>
    </w:p>
    <w:p w14:paraId="7F1E8443">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418" w:hanging="418"/>
        <w:jc w:val="both"/>
        <w:textAlignment w:val="auto"/>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 xml:space="preserve">Khan, M., Riaz, A., &amp; Amin, M. (2023). Institutional legitimacy and SME export performance: The mediating role of certification credibility. </w:t>
      </w:r>
      <w:r>
        <w:rPr>
          <w:rFonts w:hint="default" w:ascii="Times New Roman" w:hAnsi="Times New Roman" w:eastAsia="Times New Roman" w:cs="Times New Roman"/>
          <w:i/>
          <w:iCs/>
          <w:sz w:val="24"/>
          <w:szCs w:val="24"/>
        </w:rPr>
        <w:t>Strategic Management Journal, 44</w:t>
      </w:r>
      <w:r>
        <w:rPr>
          <w:rFonts w:hint="default" w:ascii="Times New Roman" w:hAnsi="Times New Roman" w:eastAsia="Times New Roman" w:cs="Times New Roman"/>
          <w:sz w:val="24"/>
          <w:szCs w:val="24"/>
        </w:rPr>
        <w:t xml:space="preserve">(5), 789-804. </w:t>
      </w:r>
    </w:p>
    <w:p w14:paraId="39E32587">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418" w:hanging="418"/>
        <w:jc w:val="both"/>
        <w:textAlignment w:val="auto"/>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 xml:space="preserve">Lee, S. M., &amp; Lee, J. K. (2019). The impact of certification on export performance in Asian SMEs. </w:t>
      </w:r>
      <w:r>
        <w:rPr>
          <w:rFonts w:hint="default" w:ascii="Times New Roman" w:hAnsi="Times New Roman" w:eastAsia="Times New Roman" w:cs="Times New Roman"/>
          <w:i/>
          <w:iCs/>
          <w:sz w:val="24"/>
          <w:szCs w:val="24"/>
        </w:rPr>
        <w:t>Asia Pacific Journal of Management, 36</w:t>
      </w:r>
      <w:r>
        <w:rPr>
          <w:rFonts w:hint="default" w:ascii="Times New Roman" w:hAnsi="Times New Roman" w:eastAsia="Times New Roman" w:cs="Times New Roman"/>
          <w:sz w:val="24"/>
          <w:szCs w:val="24"/>
        </w:rPr>
        <w:t xml:space="preserve">(4), 1053-1078. </w:t>
      </w:r>
    </w:p>
    <w:p w14:paraId="3325A37E">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418" w:hanging="418"/>
        <w:jc w:val="both"/>
        <w:textAlignment w:val="auto"/>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 xml:space="preserve">Sia, B., Lim, C., &amp; Lee, T. (2024). Market orientation and the effect of halal certification on export outcomes. </w:t>
      </w:r>
      <w:r>
        <w:rPr>
          <w:rFonts w:hint="default" w:ascii="Times New Roman" w:hAnsi="Times New Roman" w:eastAsia="Times New Roman" w:cs="Times New Roman"/>
          <w:i/>
          <w:iCs/>
          <w:sz w:val="24"/>
          <w:szCs w:val="24"/>
        </w:rPr>
        <w:t>Journal of International Business Studies, 55</w:t>
      </w:r>
      <w:r>
        <w:rPr>
          <w:rFonts w:hint="default" w:ascii="Times New Roman" w:hAnsi="Times New Roman" w:eastAsia="Times New Roman" w:cs="Times New Roman"/>
          <w:sz w:val="24"/>
          <w:szCs w:val="24"/>
        </w:rPr>
        <w:t xml:space="preserve">(6), 987-1004. </w:t>
      </w:r>
    </w:p>
    <w:p w14:paraId="1C231097">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418" w:hanging="418"/>
        <w:jc w:val="both"/>
        <w:textAlignment w:val="auto"/>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 xml:space="preserve">Singh, A., &amp; Sharma, P. (2020). Halal certification and SME performance: An institutional perspective. </w:t>
      </w:r>
      <w:r>
        <w:rPr>
          <w:rFonts w:hint="default" w:ascii="Times New Roman" w:hAnsi="Times New Roman" w:eastAsia="Times New Roman" w:cs="Times New Roman"/>
          <w:i/>
          <w:iCs/>
          <w:sz w:val="24"/>
          <w:szCs w:val="24"/>
        </w:rPr>
        <w:t>International Journal of Operations &amp; Production Management, 40</w:t>
      </w:r>
      <w:r>
        <w:rPr>
          <w:rFonts w:hint="default" w:ascii="Times New Roman" w:hAnsi="Times New Roman" w:eastAsia="Times New Roman" w:cs="Times New Roman"/>
          <w:sz w:val="24"/>
          <w:szCs w:val="24"/>
        </w:rPr>
        <w:t xml:space="preserve">(5), 571-594. </w:t>
      </w:r>
    </w:p>
    <w:p w14:paraId="70DFE4DD">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418" w:hanging="418"/>
        <w:jc w:val="both"/>
        <w:textAlignment w:val="auto"/>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 xml:space="preserve">Suchman, M. (1995). Managing legitimacy: Strategic and institutional approaches. </w:t>
      </w:r>
      <w:r>
        <w:rPr>
          <w:rFonts w:hint="default" w:ascii="Times New Roman" w:hAnsi="Times New Roman" w:eastAsia="Times New Roman" w:cs="Times New Roman"/>
          <w:i/>
          <w:iCs/>
          <w:sz w:val="24"/>
          <w:szCs w:val="24"/>
        </w:rPr>
        <w:t>Academy of Management Review, 20</w:t>
      </w:r>
      <w:r>
        <w:rPr>
          <w:rFonts w:hint="default" w:ascii="Times New Roman" w:hAnsi="Times New Roman" w:eastAsia="Times New Roman" w:cs="Times New Roman"/>
          <w:sz w:val="24"/>
          <w:szCs w:val="24"/>
        </w:rPr>
        <w:t xml:space="preserve">(3), 571-610.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"https://doi.org/10.5465/amr.1995.9508080331" </w:instrText>
      </w:r>
      <w:r>
        <w:rPr>
          <w:rFonts w:hint="default" w:ascii="Times New Roman" w:hAnsi="Times New Roman" w:cs="Times New Roman"/>
          <w:sz w:val="24"/>
          <w:szCs w:val="24"/>
        </w:rPr>
        <w:fldChar w:fldCharType="separate"/>
      </w:r>
      <w:r>
        <w:rPr>
          <w:rFonts w:hint="default" w:ascii="Times New Roman" w:hAnsi="Times New Roman" w:eastAsia="Times New Roman" w:cs="Times New Roman"/>
          <w:color w:val="0000FF"/>
          <w:sz w:val="24"/>
          <w:szCs w:val="24"/>
          <w:u w:val="single"/>
        </w:rPr>
        <w:t>https://doi.org/10.5465/amr.1995.9508080331</w:t>
      </w:r>
      <w:r>
        <w:rPr>
          <w:rFonts w:hint="default" w:ascii="Times New Roman" w:hAnsi="Times New Roman" w:eastAsia="Times New Roman" w:cs="Times New Roman"/>
          <w:color w:val="0000FF"/>
          <w:sz w:val="24"/>
          <w:szCs w:val="24"/>
          <w:u w:val="single"/>
        </w:rPr>
        <w:fldChar w:fldCharType="end"/>
      </w:r>
    </w:p>
    <w:p w14:paraId="4B4D4E99">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418" w:hanging="418"/>
        <w:jc w:val="both"/>
        <w:textAlignment w:val="auto"/>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 xml:space="preserve">Tamimi, N. A., &amp; Alshurideh, M. (2021). The influence of halal certification on SMEs' export success: Evidence from the food sector. </w:t>
      </w:r>
      <w:r>
        <w:rPr>
          <w:rFonts w:hint="default" w:ascii="Times New Roman" w:hAnsi="Times New Roman" w:eastAsia="Times New Roman" w:cs="Times New Roman"/>
          <w:i/>
          <w:iCs/>
          <w:sz w:val="24"/>
          <w:szCs w:val="24"/>
        </w:rPr>
        <w:t>Journal of International Marketing, 29</w:t>
      </w:r>
      <w:r>
        <w:rPr>
          <w:rFonts w:hint="default" w:ascii="Times New Roman" w:hAnsi="Times New Roman" w:eastAsia="Times New Roman" w:cs="Times New Roman"/>
          <w:sz w:val="24"/>
          <w:szCs w:val="24"/>
        </w:rPr>
        <w:t xml:space="preserve">(3), 31-48. </w:t>
      </w:r>
    </w:p>
    <w:p w14:paraId="47B12CBE">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418" w:hanging="418"/>
        <w:jc w:val="both"/>
        <w:textAlignment w:val="auto"/>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 xml:space="preserve">Zou, S., Leonidou, L. C., &amp; Ghauri, P. (1998). The internationalization of small and medium-sized firms: Theoretical frameworks and research directions. </w:t>
      </w:r>
      <w:r>
        <w:rPr>
          <w:rFonts w:hint="default" w:ascii="Times New Roman" w:hAnsi="Times New Roman" w:eastAsia="Times New Roman" w:cs="Times New Roman"/>
          <w:i/>
          <w:iCs/>
          <w:sz w:val="24"/>
          <w:szCs w:val="24"/>
        </w:rPr>
        <w:t>Journal of International Marketing, 6</w:t>
      </w:r>
      <w:r>
        <w:rPr>
          <w:rFonts w:hint="default" w:ascii="Times New Roman" w:hAnsi="Times New Roman" w:eastAsia="Times New Roman" w:cs="Times New Roman"/>
          <w:sz w:val="24"/>
          <w:szCs w:val="24"/>
        </w:rPr>
        <w:t xml:space="preserve">(1), 30-55.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"https://doi.org/10.1509/jimk.6.1.30" </w:instrText>
      </w:r>
      <w:r>
        <w:rPr>
          <w:rFonts w:hint="default" w:ascii="Times New Roman" w:hAnsi="Times New Roman" w:cs="Times New Roman"/>
          <w:sz w:val="24"/>
          <w:szCs w:val="24"/>
        </w:rPr>
        <w:fldChar w:fldCharType="separate"/>
      </w:r>
      <w:r>
        <w:rPr>
          <w:rFonts w:hint="default" w:ascii="Times New Roman" w:hAnsi="Times New Roman" w:eastAsia="Times New Roman" w:cs="Times New Roman"/>
          <w:color w:val="0000FF"/>
          <w:sz w:val="24"/>
          <w:szCs w:val="24"/>
          <w:u w:val="single"/>
        </w:rPr>
        <w:t>https://doi.org/10.1509/jimk.6.1.30</w:t>
      </w:r>
      <w:r>
        <w:rPr>
          <w:rFonts w:hint="default" w:ascii="Times New Roman" w:hAnsi="Times New Roman" w:eastAsia="Times New Roman" w:cs="Times New Roman"/>
          <w:color w:val="0000FF"/>
          <w:sz w:val="24"/>
          <w:szCs w:val="24"/>
          <w:u w:val="single"/>
        </w:rPr>
        <w:fldChar w:fldCharType="end"/>
      </w:r>
    </w:p>
    <w:p w14:paraId="4F488D9D">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418" w:hanging="418"/>
        <w:jc w:val="both"/>
        <w:textAlignment w:val="auto"/>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 xml:space="preserve">Zulkifli, N., &amp; Hashim, S. (2019). Examining the link between halal certification and export performance in the food industry. </w:t>
      </w:r>
      <w:r>
        <w:rPr>
          <w:rFonts w:hint="default" w:ascii="Times New Roman" w:hAnsi="Times New Roman" w:eastAsia="Times New Roman" w:cs="Times New Roman"/>
          <w:i/>
          <w:iCs/>
          <w:sz w:val="24"/>
          <w:szCs w:val="24"/>
        </w:rPr>
        <w:t>Asia Pacific Business Review, 25</w:t>
      </w:r>
      <w:r>
        <w:rPr>
          <w:rFonts w:hint="default" w:ascii="Times New Roman" w:hAnsi="Times New Roman" w:eastAsia="Times New Roman" w:cs="Times New Roman"/>
          <w:sz w:val="24"/>
          <w:szCs w:val="24"/>
        </w:rPr>
        <w:t xml:space="preserve">(2), 236-251. </w:t>
      </w:r>
    </w:p>
    <w:p w14:paraId="0759190F">
      <w:pPr>
        <w:spacing w:line="360" w:lineRule="auto"/>
        <w:jc w:val="both"/>
        <w:rPr>
          <w:rFonts w:ascii="Times New Roman" w:hAnsi="Times New Roman" w:cs="Times New Roman"/>
          <w:sz w:val="24"/>
          <w:szCs w:val="24"/>
        </w:rPr>
      </w:pPr>
    </w:p>
    <w:p w14:paraId="6ED3C4A5">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540" w:leftChars="0" w:hanging="540" w:firstLineChars="0"/>
        <w:jc w:val="left"/>
        <w:textAlignment w:val="auto"/>
        <w:rPr>
          <w:rFonts w:hint="default"/>
          <w:b/>
          <w:bCs/>
          <w:color w:val="55A59B"/>
          <w:sz w:val="28"/>
          <w:szCs w:val="24"/>
          <w:u w:val="double"/>
          <w:lang w:val="en-US"/>
        </w:rPr>
      </w:pPr>
    </w:p>
    <w:p w14:paraId="373C1DE4">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540" w:leftChars="0" w:hanging="540" w:firstLineChars="0"/>
        <w:jc w:val="left"/>
        <w:textAlignment w:val="auto"/>
        <w:rPr>
          <w:rFonts w:hint="default"/>
          <w:b/>
          <w:bCs/>
          <w:color w:val="55A59B"/>
          <w:sz w:val="28"/>
          <w:szCs w:val="24"/>
          <w:u w:val="double"/>
          <w:lang w:val="en-US"/>
        </w:rPr>
      </w:pPr>
    </w:p>
    <w:p w14:paraId="41353DAF">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540" w:leftChars="0" w:hanging="540" w:firstLineChars="0"/>
        <w:jc w:val="left"/>
        <w:textAlignment w:val="auto"/>
        <w:rPr>
          <w:rFonts w:hint="default"/>
          <w:b/>
          <w:bCs/>
          <w:color w:val="55A59B"/>
          <w:sz w:val="28"/>
          <w:szCs w:val="24"/>
          <w:u w:val="double"/>
          <w:lang w:val="en-US"/>
        </w:rPr>
      </w:pPr>
    </w:p>
    <w:p w14:paraId="58604179">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540" w:leftChars="0" w:hanging="540" w:firstLineChars="0"/>
        <w:jc w:val="left"/>
        <w:textAlignment w:val="auto"/>
        <w:rPr>
          <w:rFonts w:hint="default"/>
          <w:b/>
          <w:bCs/>
          <w:color w:val="55A59B"/>
          <w:sz w:val="28"/>
          <w:szCs w:val="24"/>
          <w:u w:val="double"/>
          <w:lang w:val="en-US"/>
        </w:rPr>
      </w:pPr>
      <w:bookmarkStart w:id="0" w:name="_GoBack"/>
      <w:bookmarkEnd w:id="0"/>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Sylfaen">
    <w:panose1 w:val="010A0502050306030303"/>
    <w:charset w:val="00"/>
    <w:family w:val="auto"/>
    <w:pitch w:val="default"/>
    <w:sig w:usb0="04000687" w:usb1="00000000" w:usb2="00000000" w:usb3="00000000" w:csb0="2000009F" w:csb1="00000000"/>
  </w:font>
  <w:font w:name="sans-serif">
    <w:altName w:val="Segoe Print"/>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D6A169E"/>
    <w:multiLevelType w:val="multilevel"/>
    <w:tmpl w:val="1D6A169E"/>
    <w:lvl w:ilvl="0" w:tentative="0">
      <w:start w:val="1"/>
      <w:numFmt w:val="decimal"/>
      <w:lvlText w:val="%1."/>
      <w:lvlJc w:val="left"/>
      <w:pPr>
        <w:ind w:left="720" w:hanging="360"/>
      </w:pPr>
      <w:rPr>
        <w:rFonts w:hint="default"/>
        <w:b/>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attachedTemplate r:id="rId1"/>
  <w:documentProtection w:enforcement="0"/>
  <w:defaultTabStop w:val="720"/>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E8B5169"/>
    <w:rsid w:val="0EF024FE"/>
    <w:rsid w:val="16B07786"/>
    <w:rsid w:val="1AEF5419"/>
    <w:rsid w:val="1FB36C42"/>
    <w:rsid w:val="2C042D98"/>
    <w:rsid w:val="3AEB2180"/>
    <w:rsid w:val="42DB7DB4"/>
    <w:rsid w:val="4574179F"/>
    <w:rsid w:val="4C845CBC"/>
    <w:rsid w:val="603305F0"/>
    <w:rsid w:val="65340DFB"/>
    <w:rsid w:val="6ADC7D0D"/>
    <w:rsid w:val="6D485F0B"/>
    <w:rsid w:val="79E13271"/>
    <w:rsid w:val="7F3B7B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nhideWhenUsed="0"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qFormat="1"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imes New Roman" w:hAnsi="Times New Roman" w:eastAsia="SimSun" w:cs="Times New Roman"/>
      <w:kern w:val="2"/>
      <w:sz w:val="21"/>
      <w:lang w:val="en-US" w:eastAsia="zh-CN"/>
    </w:rPr>
  </w:style>
  <w:style w:type="paragraph" w:styleId="2">
    <w:name w:val="heading 3"/>
    <w:basedOn w:val="1"/>
    <w:qFormat/>
    <w:uiPriority w:val="9"/>
    <w:pPr>
      <w:spacing w:before="100" w:beforeAutospacing="1" w:after="100" w:afterAutospacing="1" w:line="240" w:lineRule="auto"/>
      <w:outlineLvl w:val="2"/>
    </w:pPr>
    <w:rPr>
      <w:rFonts w:ascii="Times New Roman" w:hAnsi="Times New Roman" w:eastAsia="Times New Roman" w:cs="Times New Roman"/>
      <w:b/>
      <w:bCs/>
      <w:sz w:val="27"/>
      <w:szCs w:val="27"/>
    </w:rPr>
  </w:style>
  <w:style w:type="character" w:default="1" w:styleId="3">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sz w:val="18"/>
    </w:rPr>
  </w:style>
  <w:style w:type="character" w:styleId="7">
    <w:name w:val="Hyperlink"/>
    <w:basedOn w:val="3"/>
    <w:qFormat/>
    <w:uiPriority w:val="0"/>
    <w:rPr>
      <w:color w:val="0000FF"/>
      <w:u w:val="single"/>
    </w:rPr>
  </w:style>
  <w:style w:type="paragraph" w:styleId="8">
    <w:name w:val="Normal (Web)"/>
    <w:basedOn w:val="1"/>
    <w:semiHidden/>
    <w:unhideWhenUsed/>
    <w:qFormat/>
    <w:uiPriority w:val="99"/>
    <w:pPr>
      <w:spacing w:before="100" w:beforeAutospacing="1" w:after="100" w:afterAutospacing="1" w:line="240" w:lineRule="auto"/>
    </w:pPr>
    <w:rPr>
      <w:rFonts w:ascii="Times New Roman" w:hAnsi="Times New Roman" w:eastAsia="Times New Roman" w:cs="Times New Roman"/>
      <w:sz w:val="24"/>
      <w:szCs w:val="24"/>
    </w:rPr>
  </w:style>
  <w:style w:type="character" w:styleId="9">
    <w:name w:val="Strong"/>
    <w:basedOn w:val="3"/>
    <w:qFormat/>
    <w:uiPriority w:val="22"/>
    <w:rPr>
      <w:b/>
      <w:bCs/>
    </w:rPr>
  </w:style>
  <w:style w:type="table" w:styleId="10">
    <w:name w:val="Light Shading"/>
    <w:basedOn w:val="4"/>
    <w:qFormat/>
    <w:uiPriority w:val="60"/>
    <w:pPr>
      <w:spacing w:after="0" w:line="240" w:lineRule="auto"/>
    </w:pPr>
    <w:rPr>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paragraph" w:customStyle="1" w:styleId="11">
    <w:name w:val="No Spacing"/>
    <w:qFormat/>
    <w:uiPriority w:val="0"/>
    <w:rPr>
      <w:rFonts w:hint="default" w:ascii="Times New Roman" w:hAnsi="Times New Roman" w:eastAsia="SimSun" w:cs="Times New Roman"/>
      <w:sz w:val="22"/>
    </w:rPr>
  </w:style>
  <w:style w:type="paragraph" w:styleId="12">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2.pn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P\AppData\Local\Kingsoft\WPS%20Office\12.2.0.22530\office6\Normal.wp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sectNamePr val="Line"/>
      <sectRole val="1"/>
    </customSectPr>
  </customSectProps>
  <customShpExts>
    <customShpInfo spid="_x0000_s1026" textRotate="1"/>
    <customShpInfo spid="_x0000_s1032"/>
    <customShpInfo spid="_x0000_s1030"/>
    <customShpInfo spid="_x0000_s1029"/>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13</Pages>
  <Words>0</Words>
  <Characters>0</Characters>
  <Lines>0</Lines>
  <Paragraphs>0</Paragraphs>
  <TotalTime>6</TotalTime>
  <ScaleCrop>false</ScaleCrop>
  <LinksUpToDate>false</LinksUpToDate>
  <CharactersWithSpaces>0</CharactersWithSpaces>
  <Application>WPS Office_12.2.0.23155_F1E327BC-269C-435d-A152-05C5408002CA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2025-09-03T18:38:00Z</dcterms:created>
  <dc:creator>HP</dc:creator>
  <cp:lastModifiedBy>Medico editor</cp:lastModifiedBy>
  <dcterms:modified xsi:type="dcterms:W3CDTF">2025-12-21T09:33:32Z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1033-12.2.0.23155</vt:lpwstr>
  </property>
  <property fmtid="{D5CDD505-2E9C-101B-9397-08002B2CF9AE}" pid="3" name="ICV">
    <vt:lpwstr>EC125CA7978C4D6EA5D52BD72A97BDDF_13</vt:lpwstr>
  </property>
</Properties>
</file>